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9F9ABA6">
      <w:pPr>
        <w:tabs>
          <w:tab w:val="left" w:pos="6300"/>
        </w:tabs>
        <w:snapToGrid w:val="0"/>
        <w:spacing w:line="300" w:lineRule="auto"/>
        <w:rPr>
          <w:rFonts w:ascii="宋体" w:cs="宋体"/>
          <w:w w:val="80"/>
          <w:sz w:val="44"/>
          <w:szCs w:val="44"/>
        </w:rPr>
      </w:pPr>
      <w:bookmarkStart w:id="102" w:name="_GoBack"/>
      <w:bookmarkEnd w:id="102"/>
    </w:p>
    <w:p w14:paraId="1A3AB5A1">
      <w:pPr>
        <w:tabs>
          <w:tab w:val="left" w:pos="6300"/>
        </w:tabs>
        <w:snapToGrid w:val="0"/>
        <w:spacing w:line="300" w:lineRule="auto"/>
        <w:rPr>
          <w:rFonts w:ascii="宋体" w:cs="宋体"/>
          <w:w w:val="80"/>
          <w:sz w:val="44"/>
          <w:szCs w:val="44"/>
        </w:rPr>
      </w:pPr>
    </w:p>
    <w:p w14:paraId="5956AF6A">
      <w:pPr>
        <w:tabs>
          <w:tab w:val="left" w:pos="6300"/>
        </w:tabs>
        <w:snapToGrid w:val="0"/>
        <w:spacing w:line="300" w:lineRule="auto"/>
        <w:jc w:val="center"/>
        <w:rPr>
          <w:rFonts w:hint="eastAsia" w:asciiTheme="majorEastAsia" w:hAnsiTheme="majorEastAsia" w:eastAsiaTheme="majorEastAsia" w:cstheme="minorEastAsia"/>
          <w:b/>
          <w:sz w:val="44"/>
          <w:szCs w:val="44"/>
        </w:rPr>
      </w:pPr>
      <w:r>
        <w:rPr>
          <w:rFonts w:hint="eastAsia" w:asciiTheme="majorEastAsia" w:hAnsiTheme="majorEastAsia" w:eastAsiaTheme="majorEastAsia" w:cstheme="minorEastAsia"/>
          <w:b/>
          <w:sz w:val="44"/>
          <w:szCs w:val="44"/>
        </w:rPr>
        <w:t>南通市图书馆智能化维保服务项目</w:t>
      </w:r>
    </w:p>
    <w:p w14:paraId="6D944BBF">
      <w:pPr>
        <w:tabs>
          <w:tab w:val="left" w:pos="6300"/>
        </w:tabs>
        <w:snapToGrid w:val="0"/>
        <w:spacing w:line="300" w:lineRule="auto"/>
        <w:rPr>
          <w:rFonts w:ascii="宋体" w:cs="宋体"/>
          <w:b/>
          <w:sz w:val="44"/>
          <w:szCs w:val="44"/>
        </w:rPr>
      </w:pPr>
    </w:p>
    <w:p w14:paraId="6D2AE136">
      <w:pPr>
        <w:tabs>
          <w:tab w:val="left" w:pos="6300"/>
        </w:tabs>
        <w:snapToGrid w:val="0"/>
        <w:spacing w:line="300" w:lineRule="auto"/>
        <w:jc w:val="center"/>
        <w:rPr>
          <w:rFonts w:ascii="宋体" w:cs="宋体"/>
          <w:b/>
          <w:sz w:val="44"/>
          <w:szCs w:val="44"/>
        </w:rPr>
      </w:pPr>
    </w:p>
    <w:p w14:paraId="210EB427">
      <w:pPr>
        <w:tabs>
          <w:tab w:val="left" w:pos="6300"/>
        </w:tabs>
        <w:snapToGrid w:val="0"/>
        <w:spacing w:line="300" w:lineRule="auto"/>
        <w:jc w:val="center"/>
        <w:rPr>
          <w:rFonts w:ascii="宋体" w:cs="宋体"/>
          <w:b/>
          <w:sz w:val="44"/>
          <w:szCs w:val="44"/>
        </w:rPr>
      </w:pPr>
    </w:p>
    <w:p w14:paraId="4C22066C">
      <w:pPr>
        <w:tabs>
          <w:tab w:val="left" w:pos="6300"/>
        </w:tabs>
        <w:snapToGrid w:val="0"/>
        <w:spacing w:line="300" w:lineRule="auto"/>
        <w:jc w:val="center"/>
        <w:rPr>
          <w:rFonts w:ascii="宋体" w:cs="宋体"/>
          <w:b/>
          <w:sz w:val="44"/>
          <w:szCs w:val="44"/>
        </w:rPr>
      </w:pPr>
    </w:p>
    <w:p w14:paraId="505D374C">
      <w:pPr>
        <w:tabs>
          <w:tab w:val="left" w:pos="6300"/>
        </w:tabs>
        <w:snapToGrid w:val="0"/>
        <w:spacing w:line="300" w:lineRule="auto"/>
        <w:jc w:val="center"/>
        <w:rPr>
          <w:rFonts w:ascii="宋体" w:cs="宋体"/>
          <w:b/>
          <w:w w:val="80"/>
          <w:sz w:val="96"/>
          <w:szCs w:val="96"/>
        </w:rPr>
      </w:pPr>
      <w:r>
        <w:rPr>
          <w:rFonts w:hint="eastAsia" w:ascii="宋体" w:hAnsi="宋体" w:cs="宋体"/>
          <w:b/>
          <w:w w:val="80"/>
          <w:sz w:val="96"/>
          <w:szCs w:val="96"/>
        </w:rPr>
        <w:t>竞争性磋商文件</w:t>
      </w:r>
    </w:p>
    <w:p w14:paraId="231F4530">
      <w:pPr>
        <w:jc w:val="center"/>
        <w:rPr>
          <w:rFonts w:ascii="宋体" w:cs="宋体"/>
          <w:b/>
          <w:sz w:val="44"/>
          <w:szCs w:val="44"/>
        </w:rPr>
      </w:pPr>
      <w:r>
        <w:rPr>
          <w:rFonts w:hint="eastAsia" w:ascii="宋体" w:hAnsi="宋体" w:cs="宋体"/>
          <w:b/>
          <w:sz w:val="36"/>
        </w:rPr>
        <w:t xml:space="preserve"> </w:t>
      </w:r>
    </w:p>
    <w:p w14:paraId="01AE0F78">
      <w:pPr>
        <w:snapToGrid w:val="0"/>
        <w:spacing w:line="360" w:lineRule="auto"/>
        <w:rPr>
          <w:rFonts w:ascii="宋体" w:cs="宋体"/>
          <w:b/>
          <w:sz w:val="36"/>
        </w:rPr>
      </w:pPr>
    </w:p>
    <w:p w14:paraId="0D941795">
      <w:pPr>
        <w:snapToGrid w:val="0"/>
        <w:spacing w:line="360" w:lineRule="auto"/>
        <w:jc w:val="center"/>
        <w:rPr>
          <w:rFonts w:ascii="宋体" w:cs="宋体"/>
          <w:b/>
          <w:sz w:val="36"/>
        </w:rPr>
      </w:pPr>
    </w:p>
    <w:p w14:paraId="05597053">
      <w:pPr>
        <w:snapToGrid w:val="0"/>
        <w:spacing w:line="360" w:lineRule="auto"/>
        <w:rPr>
          <w:rFonts w:ascii="宋体" w:cs="宋体"/>
          <w:b/>
          <w:sz w:val="36"/>
        </w:rPr>
      </w:pPr>
    </w:p>
    <w:p w14:paraId="5336C551">
      <w:pPr>
        <w:snapToGrid w:val="0"/>
        <w:spacing w:line="360" w:lineRule="auto"/>
        <w:rPr>
          <w:rFonts w:ascii="宋体" w:cs="宋体"/>
          <w:b/>
          <w:sz w:val="36"/>
        </w:rPr>
      </w:pPr>
    </w:p>
    <w:p w14:paraId="773C91DC">
      <w:pPr>
        <w:snapToGrid w:val="0"/>
        <w:spacing w:line="360" w:lineRule="auto"/>
        <w:rPr>
          <w:rFonts w:ascii="宋体" w:cs="宋体"/>
          <w:b/>
          <w:sz w:val="36"/>
        </w:rPr>
      </w:pPr>
    </w:p>
    <w:p w14:paraId="69B4922A">
      <w:pPr>
        <w:snapToGrid w:val="0"/>
        <w:spacing w:line="360" w:lineRule="auto"/>
        <w:rPr>
          <w:rFonts w:ascii="宋体" w:cs="宋体"/>
          <w:b/>
          <w:sz w:val="36"/>
        </w:rPr>
      </w:pPr>
    </w:p>
    <w:p w14:paraId="4F584F2A">
      <w:pPr>
        <w:adjustRightInd w:val="0"/>
        <w:snapToGrid w:val="0"/>
        <w:spacing w:line="480" w:lineRule="auto"/>
        <w:rPr>
          <w:rFonts w:ascii="宋体" w:cs="宋体"/>
          <w:b/>
          <w:sz w:val="30"/>
          <w:szCs w:val="30"/>
        </w:rPr>
      </w:pPr>
      <w:bookmarkStart w:id="0" w:name="_Toc8895738"/>
      <w:bookmarkStart w:id="1" w:name="_Toc94585339"/>
      <w:bookmarkStart w:id="2" w:name="_Toc521203417"/>
      <w:bookmarkStart w:id="3" w:name="_Toc11500279"/>
      <w:bookmarkStart w:id="4" w:name="_Toc94544743"/>
      <w:bookmarkStart w:id="5" w:name="_Toc521201596"/>
      <w:bookmarkStart w:id="6" w:name="_Toc11499583"/>
      <w:bookmarkStart w:id="7" w:name="_Toc11554638"/>
      <w:bookmarkStart w:id="8" w:name="_Toc94544827"/>
      <w:bookmarkStart w:id="9" w:name="_Toc12670502"/>
      <w:r>
        <w:rPr>
          <w:rFonts w:ascii="宋体" w:hAnsi="宋体" w:cs="宋体"/>
          <w:b/>
          <w:sz w:val="30"/>
          <w:szCs w:val="30"/>
        </w:rPr>
        <w:t xml:space="preserve">             </w:t>
      </w:r>
      <w:r>
        <w:rPr>
          <w:rFonts w:hint="eastAsia" w:ascii="宋体" w:hAnsi="宋体" w:cs="宋体"/>
          <w:b/>
          <w:sz w:val="30"/>
          <w:szCs w:val="30"/>
        </w:rPr>
        <w:t>采购单位：南通市图书馆</w:t>
      </w:r>
    </w:p>
    <w:p w14:paraId="09E1EC68">
      <w:pPr>
        <w:adjustRightInd w:val="0"/>
        <w:snapToGrid w:val="0"/>
        <w:spacing w:line="480" w:lineRule="auto"/>
        <w:rPr>
          <w:rFonts w:ascii="宋体" w:cs="宋体"/>
          <w:b/>
          <w:sz w:val="30"/>
          <w:szCs w:val="30"/>
        </w:rPr>
      </w:pPr>
      <w:r>
        <w:rPr>
          <w:rFonts w:ascii="宋体" w:hAnsi="宋体" w:cs="宋体"/>
          <w:b/>
          <w:sz w:val="30"/>
          <w:szCs w:val="30"/>
        </w:rPr>
        <w:t xml:space="preserve">             </w:t>
      </w:r>
      <w:r>
        <w:rPr>
          <w:rFonts w:hint="eastAsia" w:ascii="宋体" w:hAnsi="宋体" w:cs="宋体"/>
          <w:b/>
          <w:sz w:val="30"/>
          <w:szCs w:val="30"/>
        </w:rPr>
        <w:t>代理机构：南通通城建设工程项目管理有限公司</w:t>
      </w:r>
    </w:p>
    <w:p w14:paraId="3B3705B5">
      <w:pPr>
        <w:adjustRightInd w:val="0"/>
        <w:snapToGrid w:val="0"/>
        <w:spacing w:line="480" w:lineRule="auto"/>
        <w:jc w:val="center"/>
        <w:rPr>
          <w:rFonts w:ascii="宋体" w:cs="宋体"/>
          <w:b/>
          <w:sz w:val="30"/>
          <w:szCs w:val="30"/>
        </w:rPr>
      </w:pPr>
      <w:r>
        <w:rPr>
          <w:rFonts w:ascii="宋体" w:hAnsi="宋体" w:cs="宋体"/>
          <w:b/>
          <w:sz w:val="30"/>
          <w:szCs w:val="30"/>
        </w:rPr>
        <w:t>202</w:t>
      </w:r>
      <w:r>
        <w:rPr>
          <w:rFonts w:hint="eastAsia" w:ascii="宋体" w:hAnsi="宋体" w:cs="宋体"/>
          <w:b/>
          <w:sz w:val="30"/>
          <w:szCs w:val="30"/>
        </w:rPr>
        <w:t>5年4月11日</w:t>
      </w:r>
    </w:p>
    <w:p w14:paraId="48E2C5DF">
      <w:pPr>
        <w:overflowPunct w:val="0"/>
        <w:rPr>
          <w:rFonts w:ascii="宋体" w:cs="宋体"/>
          <w:b/>
          <w:sz w:val="32"/>
        </w:rPr>
        <w:sectPr>
          <w:footerReference r:id="rId6" w:type="first"/>
          <w:headerReference r:id="rId3" w:type="default"/>
          <w:footerReference r:id="rId4" w:type="default"/>
          <w:footerReference r:id="rId5" w:type="even"/>
          <w:type w:val="continuous"/>
          <w:pgSz w:w="11906" w:h="16838"/>
          <w:pgMar w:top="1134" w:right="1113" w:bottom="1134" w:left="1255" w:header="851" w:footer="992" w:gutter="0"/>
          <w:pgNumType w:fmt="numberInDash" w:start="1"/>
          <w:cols w:space="720" w:num="1"/>
          <w:titlePg/>
          <w:docGrid w:linePitch="380" w:charSpace="-5735"/>
        </w:sectPr>
      </w:pPr>
    </w:p>
    <w:p w14:paraId="3ECDE30A">
      <w:pPr>
        <w:jc w:val="center"/>
        <w:rPr>
          <w:rFonts w:ascii="宋体" w:cs="宋体"/>
          <w:b/>
          <w:sz w:val="44"/>
          <w:szCs w:val="44"/>
        </w:rPr>
        <w:sectPr>
          <w:type w:val="continuous"/>
          <w:pgSz w:w="11906" w:h="16838"/>
          <w:pgMar w:top="1134" w:right="1134" w:bottom="1134" w:left="1622" w:header="851" w:footer="992" w:gutter="0"/>
          <w:pgNumType w:fmt="numberInDash"/>
          <w:cols w:space="720" w:num="1"/>
          <w:docGrid w:linePitch="312" w:charSpace="0"/>
        </w:sectPr>
      </w:pPr>
    </w:p>
    <w:p w14:paraId="7B8BC71A">
      <w:pPr>
        <w:jc w:val="center"/>
        <w:rPr>
          <w:rFonts w:ascii="宋体" w:cs="宋体"/>
          <w:b/>
          <w:sz w:val="44"/>
          <w:szCs w:val="44"/>
        </w:rPr>
        <w:sectPr>
          <w:type w:val="continuous"/>
          <w:pgSz w:w="11906" w:h="16838"/>
          <w:pgMar w:top="1134" w:right="1134" w:bottom="1134" w:left="1622" w:header="851" w:footer="992" w:gutter="0"/>
          <w:pgNumType w:fmt="numberInDash"/>
          <w:cols w:space="720" w:num="1"/>
          <w:docGrid w:linePitch="312" w:charSpace="0"/>
        </w:sectPr>
      </w:pPr>
    </w:p>
    <w:p w14:paraId="3C6233CC">
      <w:pPr>
        <w:jc w:val="center"/>
        <w:rPr>
          <w:rFonts w:ascii="宋体" w:cs="宋体"/>
          <w:b/>
          <w:sz w:val="44"/>
          <w:szCs w:val="44"/>
        </w:rPr>
      </w:pPr>
      <w:r>
        <w:rPr>
          <w:rFonts w:hint="eastAsia" w:ascii="宋体" w:hAnsi="宋体" w:cs="宋体"/>
          <w:b/>
          <w:sz w:val="44"/>
          <w:szCs w:val="44"/>
        </w:rPr>
        <w:t>竞争性磋商文件备案表</w:t>
      </w:r>
    </w:p>
    <w:p w14:paraId="1E69DC9F">
      <w:pPr>
        <w:jc w:val="center"/>
        <w:rPr>
          <w:rFonts w:ascii="宋体" w:cs="宋体"/>
          <w:b/>
          <w:sz w:val="44"/>
          <w:szCs w:val="44"/>
        </w:rPr>
      </w:pPr>
    </w:p>
    <w:tbl>
      <w:tblPr>
        <w:tblStyle w:val="57"/>
        <w:tblW w:w="9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4"/>
      </w:tblGrid>
      <w:tr w14:paraId="7F807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67" w:hRule="atLeast"/>
          <w:jc w:val="center"/>
        </w:trPr>
        <w:tc>
          <w:tcPr>
            <w:tcW w:w="9224" w:type="dxa"/>
            <w:vAlign w:val="center"/>
          </w:tcPr>
          <w:p w14:paraId="5E418C7D">
            <w:pPr>
              <w:spacing w:line="360" w:lineRule="auto"/>
              <w:ind w:firstLine="3000" w:firstLineChars="1200"/>
              <w:rPr>
                <w:rFonts w:ascii="宋体" w:cs="宋体"/>
                <w:position w:val="-48"/>
                <w:sz w:val="25"/>
              </w:rPr>
            </w:pPr>
            <w:r>
              <w:rPr>
                <w:rFonts w:hint="eastAsia" w:ascii="宋体" w:hAnsi="宋体" w:cs="宋体"/>
                <w:position w:val="-48"/>
                <w:sz w:val="25"/>
              </w:rPr>
              <w:t>编制人：杨伟</w:t>
            </w:r>
          </w:p>
          <w:p w14:paraId="13B77141">
            <w:pPr>
              <w:tabs>
                <w:tab w:val="left" w:pos="3492"/>
              </w:tabs>
              <w:spacing w:line="360" w:lineRule="auto"/>
              <w:ind w:firstLine="3000" w:firstLineChars="1200"/>
              <w:rPr>
                <w:rFonts w:ascii="宋体" w:cs="宋体"/>
                <w:position w:val="-48"/>
                <w:sz w:val="25"/>
              </w:rPr>
            </w:pPr>
            <w:r>
              <w:rPr>
                <w:rFonts w:hint="eastAsia" w:ascii="宋体" w:hAnsi="宋体" w:cs="宋体"/>
                <w:position w:val="-48"/>
                <w:sz w:val="25"/>
              </w:rPr>
              <w:t>日</w:t>
            </w:r>
            <w:r>
              <w:rPr>
                <w:rFonts w:ascii="宋体" w:hAnsi="宋体" w:cs="宋体"/>
                <w:position w:val="-48"/>
                <w:sz w:val="25"/>
              </w:rPr>
              <w:t xml:space="preserve">  </w:t>
            </w:r>
            <w:r>
              <w:rPr>
                <w:rFonts w:hint="eastAsia" w:ascii="宋体" w:hAnsi="宋体" w:cs="宋体"/>
                <w:position w:val="-48"/>
                <w:sz w:val="25"/>
              </w:rPr>
              <w:t>期：</w:t>
            </w:r>
            <w:r>
              <w:rPr>
                <w:rFonts w:ascii="宋体" w:hAnsi="宋体" w:cs="宋体"/>
                <w:position w:val="-48"/>
                <w:sz w:val="25"/>
              </w:rPr>
              <w:t>202</w:t>
            </w:r>
            <w:r>
              <w:rPr>
                <w:rFonts w:hint="eastAsia" w:ascii="宋体" w:hAnsi="宋体" w:cs="宋体"/>
                <w:position w:val="-48"/>
                <w:sz w:val="25"/>
              </w:rPr>
              <w:t>5年4月11日</w:t>
            </w:r>
          </w:p>
        </w:tc>
      </w:tr>
      <w:tr w14:paraId="7DDC5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5" w:hRule="atLeast"/>
          <w:jc w:val="center"/>
        </w:trPr>
        <w:tc>
          <w:tcPr>
            <w:tcW w:w="9224" w:type="dxa"/>
          </w:tcPr>
          <w:p w14:paraId="7E38B81F">
            <w:pPr>
              <w:spacing w:line="360" w:lineRule="auto"/>
              <w:rPr>
                <w:rFonts w:ascii="宋体" w:cs="宋体"/>
                <w:position w:val="-48"/>
                <w:sz w:val="25"/>
              </w:rPr>
            </w:pPr>
          </w:p>
          <w:p w14:paraId="60FC71EC">
            <w:pPr>
              <w:spacing w:line="360" w:lineRule="auto"/>
              <w:ind w:firstLine="625" w:firstLineChars="250"/>
              <w:jc w:val="center"/>
              <w:rPr>
                <w:rFonts w:ascii="宋体" w:cs="宋体"/>
                <w:position w:val="-48"/>
                <w:sz w:val="25"/>
              </w:rPr>
            </w:pPr>
            <w:r>
              <w:rPr>
                <w:rFonts w:hint="eastAsia" w:ascii="宋体" w:hAnsi="宋体" w:cs="宋体"/>
                <w:position w:val="-48"/>
                <w:sz w:val="25"/>
              </w:rPr>
              <w:t>采购单位（盖章）</w:t>
            </w:r>
            <w:r>
              <w:rPr>
                <w:rFonts w:ascii="宋体" w:hAnsi="宋体" w:cs="宋体"/>
                <w:position w:val="-48"/>
                <w:sz w:val="25"/>
              </w:rPr>
              <w:t xml:space="preserve">            </w:t>
            </w:r>
          </w:p>
          <w:p w14:paraId="4FAB63E5">
            <w:pPr>
              <w:spacing w:line="360" w:lineRule="auto"/>
              <w:rPr>
                <w:rFonts w:ascii="宋体" w:cs="宋体"/>
                <w:position w:val="-48"/>
                <w:sz w:val="25"/>
              </w:rPr>
            </w:pPr>
          </w:p>
          <w:p w14:paraId="7D241703">
            <w:pPr>
              <w:spacing w:line="360" w:lineRule="auto"/>
              <w:rPr>
                <w:rFonts w:ascii="宋体" w:cs="宋体"/>
                <w:position w:val="-48"/>
                <w:sz w:val="25"/>
              </w:rPr>
            </w:pPr>
          </w:p>
          <w:p w14:paraId="6C93D196">
            <w:pPr>
              <w:spacing w:line="360" w:lineRule="auto"/>
              <w:jc w:val="center"/>
              <w:rPr>
                <w:rFonts w:ascii="宋体" w:cs="宋体"/>
                <w:position w:val="-48"/>
                <w:sz w:val="25"/>
              </w:rPr>
            </w:pPr>
            <w:r>
              <w:rPr>
                <w:rFonts w:hint="eastAsia" w:ascii="宋体" w:hAnsi="宋体" w:cs="宋体"/>
                <w:position w:val="-48"/>
                <w:sz w:val="25"/>
              </w:rPr>
              <w:t>日</w:t>
            </w:r>
            <w:r>
              <w:rPr>
                <w:rFonts w:ascii="宋体" w:hAnsi="宋体" w:cs="宋体"/>
                <w:position w:val="-48"/>
                <w:sz w:val="25"/>
              </w:rPr>
              <w:t xml:space="preserve">  </w:t>
            </w:r>
            <w:r>
              <w:rPr>
                <w:rFonts w:hint="eastAsia" w:ascii="宋体" w:hAnsi="宋体" w:cs="宋体"/>
                <w:position w:val="-48"/>
                <w:sz w:val="25"/>
              </w:rPr>
              <w:t>期：2025年4月11日</w:t>
            </w:r>
          </w:p>
        </w:tc>
      </w:tr>
      <w:tr w14:paraId="1493A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1" w:hRule="atLeast"/>
          <w:jc w:val="center"/>
        </w:trPr>
        <w:tc>
          <w:tcPr>
            <w:tcW w:w="9224" w:type="dxa"/>
            <w:vAlign w:val="center"/>
          </w:tcPr>
          <w:p w14:paraId="0A40F7E6">
            <w:pPr>
              <w:spacing w:line="360" w:lineRule="auto"/>
              <w:jc w:val="center"/>
              <w:rPr>
                <w:rFonts w:ascii="宋体" w:cs="宋体"/>
                <w:position w:val="-48"/>
                <w:sz w:val="25"/>
              </w:rPr>
            </w:pPr>
            <w:r>
              <w:rPr>
                <w:rFonts w:ascii="宋体" w:hAnsi="宋体" w:cs="宋体"/>
                <w:position w:val="-48"/>
                <w:sz w:val="25"/>
              </w:rPr>
              <w:t xml:space="preserve"> </w:t>
            </w:r>
          </w:p>
          <w:p w14:paraId="7972EDD2">
            <w:pPr>
              <w:spacing w:line="360" w:lineRule="auto"/>
              <w:jc w:val="center"/>
              <w:rPr>
                <w:rFonts w:ascii="宋体" w:cs="宋体"/>
                <w:position w:val="-48"/>
                <w:sz w:val="25"/>
              </w:rPr>
            </w:pPr>
            <w:r>
              <w:rPr>
                <w:rFonts w:ascii="宋体" w:hAnsi="宋体" w:cs="宋体"/>
                <w:position w:val="-48"/>
                <w:sz w:val="25"/>
              </w:rPr>
              <w:t xml:space="preserve">  </w:t>
            </w:r>
            <w:r>
              <w:rPr>
                <w:rFonts w:hint="eastAsia" w:ascii="宋体" w:hAnsi="宋体" w:cs="宋体"/>
                <w:position w:val="-48"/>
                <w:sz w:val="25"/>
              </w:rPr>
              <w:t>代理机构（盖章）</w:t>
            </w:r>
            <w:r>
              <w:rPr>
                <w:rFonts w:ascii="宋体" w:hAnsi="宋体" w:cs="宋体"/>
                <w:position w:val="-48"/>
                <w:sz w:val="25"/>
              </w:rPr>
              <w:t xml:space="preserve">            </w:t>
            </w:r>
          </w:p>
          <w:p w14:paraId="491A8521">
            <w:pPr>
              <w:spacing w:line="360" w:lineRule="auto"/>
              <w:jc w:val="center"/>
              <w:rPr>
                <w:rFonts w:ascii="宋体" w:cs="宋体"/>
                <w:position w:val="-48"/>
                <w:sz w:val="25"/>
              </w:rPr>
            </w:pPr>
          </w:p>
          <w:p w14:paraId="197215F0">
            <w:pPr>
              <w:spacing w:line="360" w:lineRule="auto"/>
              <w:jc w:val="center"/>
              <w:rPr>
                <w:rFonts w:ascii="宋体" w:cs="宋体"/>
                <w:position w:val="-48"/>
                <w:sz w:val="25"/>
              </w:rPr>
            </w:pPr>
            <w:r>
              <w:rPr>
                <w:rFonts w:hint="eastAsia" w:ascii="宋体" w:hAnsi="宋体" w:cs="宋体"/>
                <w:position w:val="-48"/>
                <w:sz w:val="25"/>
              </w:rPr>
              <w:t>日</w:t>
            </w:r>
            <w:r>
              <w:rPr>
                <w:rFonts w:ascii="宋体" w:hAnsi="宋体" w:cs="宋体"/>
                <w:position w:val="-48"/>
                <w:sz w:val="25"/>
              </w:rPr>
              <w:t xml:space="preserve">  </w:t>
            </w:r>
            <w:r>
              <w:rPr>
                <w:rFonts w:hint="eastAsia" w:ascii="宋体" w:hAnsi="宋体" w:cs="宋体"/>
                <w:position w:val="-48"/>
                <w:sz w:val="25"/>
              </w:rPr>
              <w:t>期：2025年4月11日</w:t>
            </w:r>
          </w:p>
          <w:p w14:paraId="48C04E96">
            <w:pPr>
              <w:spacing w:line="360" w:lineRule="auto"/>
              <w:rPr>
                <w:rFonts w:ascii="宋体" w:cs="宋体"/>
                <w:position w:val="-48"/>
                <w:sz w:val="25"/>
              </w:rPr>
            </w:pPr>
          </w:p>
        </w:tc>
      </w:tr>
    </w:tbl>
    <w:p w14:paraId="7F3C9915">
      <w:pPr>
        <w:pStyle w:val="27"/>
        <w:tabs>
          <w:tab w:val="left" w:pos="1050"/>
          <w:tab w:val="right" w:leader="dot" w:pos="9402"/>
        </w:tabs>
        <w:spacing w:line="960" w:lineRule="exact"/>
        <w:ind w:left="0"/>
        <w:jc w:val="center"/>
        <w:outlineLvl w:val="0"/>
        <w:rPr>
          <w:rFonts w:ascii="宋体" w:cs="宋体"/>
          <w:b/>
          <w:i w:val="0"/>
          <w:w w:val="80"/>
          <w:sz w:val="52"/>
          <w:szCs w:val="52"/>
        </w:rPr>
      </w:pPr>
      <w:r>
        <w:rPr>
          <w:rFonts w:ascii="宋体" w:cs="宋体"/>
          <w:b/>
          <w:i w:val="0"/>
          <w:w w:val="80"/>
          <w:sz w:val="52"/>
          <w:szCs w:val="52"/>
        </w:rPr>
        <w:br w:type="page"/>
      </w:r>
      <w:r>
        <w:rPr>
          <w:rFonts w:hint="eastAsia" w:ascii="宋体" w:hAnsi="宋体" w:cs="宋体"/>
          <w:b/>
          <w:i w:val="0"/>
          <w:w w:val="80"/>
          <w:sz w:val="52"/>
          <w:szCs w:val="52"/>
        </w:rPr>
        <w:t>目</w:t>
      </w:r>
      <w:r>
        <w:rPr>
          <w:rFonts w:ascii="宋体" w:hAnsi="宋体" w:cs="宋体"/>
          <w:b/>
          <w:i w:val="0"/>
          <w:w w:val="80"/>
          <w:sz w:val="52"/>
          <w:szCs w:val="52"/>
        </w:rPr>
        <w:t xml:space="preserve">   </w:t>
      </w:r>
      <w:r>
        <w:rPr>
          <w:rFonts w:hint="eastAsia" w:ascii="宋体" w:hAnsi="宋体" w:cs="宋体"/>
          <w:b/>
          <w:i w:val="0"/>
          <w:w w:val="80"/>
          <w:sz w:val="52"/>
          <w:szCs w:val="52"/>
        </w:rPr>
        <w:t>录</w:t>
      </w:r>
    </w:p>
    <w:p w14:paraId="52C9BDD4">
      <w:pPr>
        <w:spacing w:line="800" w:lineRule="exact"/>
        <w:jc w:val="center"/>
        <w:rPr>
          <w:rFonts w:ascii="宋体" w:cs="宋体"/>
          <w:b/>
          <w:sz w:val="52"/>
          <w:szCs w:val="52"/>
        </w:rPr>
      </w:pPr>
    </w:p>
    <w:p w14:paraId="208449F4">
      <w:pPr>
        <w:pStyle w:val="27"/>
        <w:tabs>
          <w:tab w:val="left" w:pos="1050"/>
          <w:tab w:val="right" w:leader="dot" w:pos="9402"/>
        </w:tabs>
        <w:spacing w:line="520" w:lineRule="exact"/>
        <w:ind w:left="0"/>
        <w:rPr>
          <w:rFonts w:ascii="宋体" w:cs="宋体"/>
          <w:i w:val="0"/>
          <w:w w:val="80"/>
          <w:sz w:val="36"/>
          <w:szCs w:val="36"/>
        </w:rPr>
      </w:pPr>
      <w:r>
        <w:rPr>
          <w:rFonts w:hint="eastAsia" w:ascii="宋体" w:hAnsi="宋体" w:cs="宋体"/>
          <w:i w:val="0"/>
          <w:w w:val="80"/>
          <w:sz w:val="36"/>
          <w:szCs w:val="36"/>
        </w:rPr>
        <w:t>第一章</w:t>
      </w:r>
      <w:r>
        <w:rPr>
          <w:rFonts w:ascii="宋体" w:hAnsi="宋体" w:cs="宋体"/>
          <w:i w:val="0"/>
          <w:w w:val="80"/>
          <w:sz w:val="36"/>
          <w:szCs w:val="36"/>
        </w:rPr>
        <w:t xml:space="preserve">       </w:t>
      </w:r>
      <w:r>
        <w:rPr>
          <w:rFonts w:hint="eastAsia" w:ascii="宋体" w:hAnsi="宋体" w:cs="宋体"/>
          <w:i w:val="0"/>
          <w:w w:val="80"/>
          <w:sz w:val="36"/>
          <w:szCs w:val="36"/>
        </w:rPr>
        <w:t>竞争性磋商公告</w:t>
      </w:r>
    </w:p>
    <w:p w14:paraId="0E15EA9D">
      <w:pPr>
        <w:rPr>
          <w:rFonts w:ascii="宋体" w:cs="宋体"/>
          <w:sz w:val="36"/>
          <w:szCs w:val="36"/>
        </w:rPr>
      </w:pPr>
    </w:p>
    <w:p w14:paraId="79D63BC2">
      <w:pPr>
        <w:pStyle w:val="27"/>
        <w:tabs>
          <w:tab w:val="left" w:pos="1050"/>
          <w:tab w:val="right" w:leader="dot" w:pos="9402"/>
        </w:tabs>
        <w:spacing w:line="520" w:lineRule="exact"/>
        <w:ind w:left="0"/>
        <w:rPr>
          <w:rFonts w:ascii="宋体" w:cs="宋体"/>
          <w:i w:val="0"/>
          <w:w w:val="80"/>
          <w:sz w:val="36"/>
          <w:szCs w:val="36"/>
        </w:rPr>
      </w:pPr>
      <w:r>
        <w:rPr>
          <w:rFonts w:hint="eastAsia" w:ascii="宋体" w:hAnsi="宋体" w:cs="宋体"/>
          <w:i w:val="0"/>
          <w:w w:val="80"/>
          <w:sz w:val="36"/>
          <w:szCs w:val="36"/>
        </w:rPr>
        <w:t>第二章</w:t>
      </w:r>
      <w:r>
        <w:rPr>
          <w:rFonts w:ascii="宋体" w:hAnsi="宋体" w:cs="宋体"/>
          <w:i w:val="0"/>
          <w:w w:val="80"/>
          <w:sz w:val="36"/>
          <w:szCs w:val="36"/>
        </w:rPr>
        <w:t xml:space="preserve">       </w:t>
      </w:r>
      <w:r>
        <w:rPr>
          <w:rFonts w:hint="eastAsia" w:ascii="宋体" w:hAnsi="宋体" w:cs="宋体"/>
          <w:i w:val="0"/>
          <w:w w:val="80"/>
          <w:sz w:val="36"/>
          <w:szCs w:val="36"/>
        </w:rPr>
        <w:t>磋商须知</w:t>
      </w:r>
    </w:p>
    <w:p w14:paraId="2ABF808E">
      <w:pPr>
        <w:rPr>
          <w:rFonts w:ascii="宋体" w:cs="宋体"/>
          <w:sz w:val="36"/>
          <w:szCs w:val="36"/>
        </w:rPr>
      </w:pPr>
    </w:p>
    <w:p w14:paraId="0FB3A3D3">
      <w:pPr>
        <w:pStyle w:val="27"/>
        <w:tabs>
          <w:tab w:val="left" w:pos="1050"/>
          <w:tab w:val="right" w:leader="dot" w:pos="9402"/>
        </w:tabs>
        <w:spacing w:line="520" w:lineRule="exact"/>
        <w:ind w:left="1"/>
        <w:rPr>
          <w:rFonts w:ascii="宋体" w:cs="宋体"/>
          <w:i w:val="0"/>
          <w:w w:val="80"/>
          <w:sz w:val="36"/>
          <w:szCs w:val="36"/>
        </w:rPr>
      </w:pPr>
      <w:r>
        <w:rPr>
          <w:rFonts w:hint="eastAsia" w:ascii="宋体" w:hAnsi="宋体" w:cs="宋体"/>
          <w:i w:val="0"/>
          <w:w w:val="80"/>
          <w:sz w:val="36"/>
          <w:szCs w:val="36"/>
        </w:rPr>
        <w:t>第三章</w:t>
      </w:r>
      <w:r>
        <w:rPr>
          <w:rFonts w:ascii="宋体" w:hAnsi="宋体" w:cs="宋体"/>
          <w:i w:val="0"/>
          <w:w w:val="80"/>
          <w:sz w:val="36"/>
          <w:szCs w:val="36"/>
        </w:rPr>
        <w:t xml:space="preserve">       </w:t>
      </w:r>
      <w:r>
        <w:rPr>
          <w:rFonts w:hint="eastAsia" w:ascii="宋体" w:hAnsi="宋体" w:cs="宋体"/>
          <w:i w:val="0"/>
          <w:w w:val="80"/>
          <w:sz w:val="36"/>
          <w:szCs w:val="36"/>
        </w:rPr>
        <w:t>项目需求</w:t>
      </w:r>
    </w:p>
    <w:p w14:paraId="79A0A021">
      <w:pPr>
        <w:rPr>
          <w:rFonts w:ascii="宋体" w:cs="宋体"/>
          <w:sz w:val="36"/>
          <w:szCs w:val="36"/>
        </w:rPr>
      </w:pPr>
    </w:p>
    <w:p w14:paraId="222C00F6">
      <w:pPr>
        <w:pStyle w:val="27"/>
        <w:tabs>
          <w:tab w:val="left" w:pos="1050"/>
          <w:tab w:val="right" w:leader="dot" w:pos="9402"/>
        </w:tabs>
        <w:spacing w:line="520" w:lineRule="exact"/>
        <w:ind w:left="0"/>
        <w:rPr>
          <w:rFonts w:ascii="宋体" w:cs="宋体"/>
          <w:i w:val="0"/>
          <w:w w:val="80"/>
          <w:sz w:val="36"/>
          <w:szCs w:val="36"/>
        </w:rPr>
      </w:pPr>
      <w:r>
        <w:rPr>
          <w:rFonts w:hint="eastAsia" w:ascii="宋体" w:hAnsi="宋体" w:cs="宋体"/>
          <w:i w:val="0"/>
          <w:w w:val="80"/>
          <w:sz w:val="36"/>
          <w:szCs w:val="36"/>
        </w:rPr>
        <w:t>第四章</w:t>
      </w:r>
      <w:r>
        <w:rPr>
          <w:rFonts w:ascii="宋体" w:hAnsi="宋体" w:cs="宋体"/>
          <w:i w:val="0"/>
          <w:w w:val="80"/>
          <w:sz w:val="36"/>
          <w:szCs w:val="36"/>
        </w:rPr>
        <w:t xml:space="preserve">       </w:t>
      </w:r>
      <w:r>
        <w:rPr>
          <w:rFonts w:hint="eastAsia" w:ascii="宋体" w:hAnsi="宋体" w:cs="宋体"/>
          <w:i w:val="0"/>
          <w:w w:val="80"/>
          <w:sz w:val="36"/>
          <w:szCs w:val="36"/>
        </w:rPr>
        <w:t>磋商程序和内容</w:t>
      </w:r>
    </w:p>
    <w:p w14:paraId="0D2D914C">
      <w:pPr>
        <w:rPr>
          <w:rFonts w:ascii="宋体" w:cs="宋体"/>
          <w:i/>
          <w:w w:val="80"/>
          <w:sz w:val="36"/>
          <w:szCs w:val="36"/>
        </w:rPr>
      </w:pPr>
    </w:p>
    <w:p w14:paraId="282BBF5E">
      <w:pPr>
        <w:pStyle w:val="27"/>
        <w:numPr>
          <w:ilvl w:val="0"/>
          <w:numId w:val="2"/>
        </w:numPr>
        <w:tabs>
          <w:tab w:val="left" w:pos="1050"/>
          <w:tab w:val="right" w:leader="dot" w:pos="9402"/>
        </w:tabs>
        <w:spacing w:line="520" w:lineRule="exact"/>
        <w:ind w:left="0"/>
        <w:rPr>
          <w:rFonts w:ascii="宋体" w:cs="宋体"/>
          <w:i w:val="0"/>
          <w:iCs/>
          <w:w w:val="80"/>
          <w:sz w:val="36"/>
          <w:szCs w:val="36"/>
        </w:rPr>
      </w:pPr>
      <w:r>
        <w:rPr>
          <w:rFonts w:ascii="宋体" w:hAnsi="宋体" w:cs="宋体"/>
          <w:i w:val="0"/>
          <w:iCs/>
          <w:w w:val="80"/>
          <w:sz w:val="36"/>
          <w:szCs w:val="36"/>
        </w:rPr>
        <w:t xml:space="preserve">      </w:t>
      </w:r>
      <w:r>
        <w:rPr>
          <w:rFonts w:hint="eastAsia" w:ascii="宋体" w:hAnsi="宋体" w:cs="宋体"/>
          <w:i w:val="0"/>
          <w:iCs/>
          <w:w w:val="80"/>
          <w:sz w:val="36"/>
          <w:szCs w:val="36"/>
        </w:rPr>
        <w:t>合同签订与验收付款</w:t>
      </w:r>
    </w:p>
    <w:p w14:paraId="315939D0">
      <w:pPr>
        <w:rPr>
          <w:rFonts w:ascii="宋体" w:cs="宋体"/>
          <w:sz w:val="36"/>
          <w:szCs w:val="36"/>
        </w:rPr>
      </w:pPr>
    </w:p>
    <w:p w14:paraId="470BB109">
      <w:pPr>
        <w:pStyle w:val="27"/>
        <w:tabs>
          <w:tab w:val="left" w:pos="1050"/>
          <w:tab w:val="right" w:leader="dot" w:pos="9402"/>
        </w:tabs>
        <w:spacing w:line="520" w:lineRule="exact"/>
        <w:ind w:left="0"/>
        <w:rPr>
          <w:rFonts w:ascii="宋体" w:cs="宋体"/>
          <w:i w:val="0"/>
          <w:w w:val="80"/>
          <w:sz w:val="36"/>
          <w:szCs w:val="36"/>
        </w:rPr>
      </w:pPr>
      <w:r>
        <w:rPr>
          <w:rFonts w:hint="eastAsia" w:ascii="宋体" w:hAnsi="宋体" w:cs="宋体"/>
          <w:i w:val="0"/>
          <w:w w:val="80"/>
          <w:sz w:val="36"/>
          <w:szCs w:val="36"/>
        </w:rPr>
        <w:t>第六章</w:t>
      </w:r>
      <w:r>
        <w:rPr>
          <w:rFonts w:ascii="宋体" w:hAnsi="宋体" w:cs="宋体"/>
          <w:i w:val="0"/>
          <w:w w:val="80"/>
          <w:sz w:val="36"/>
          <w:szCs w:val="36"/>
        </w:rPr>
        <w:t xml:space="preserve">       </w:t>
      </w:r>
      <w:r>
        <w:rPr>
          <w:rFonts w:hint="eastAsia" w:ascii="宋体" w:hAnsi="宋体" w:cs="宋体"/>
          <w:i w:val="0"/>
          <w:w w:val="80"/>
          <w:sz w:val="36"/>
          <w:szCs w:val="36"/>
        </w:rPr>
        <w:t xml:space="preserve">响应文件组成 </w:t>
      </w:r>
    </w:p>
    <w:p w14:paraId="26938342">
      <w:pPr>
        <w:rPr>
          <w:rFonts w:ascii="宋体" w:cs="宋体"/>
          <w:sz w:val="36"/>
          <w:szCs w:val="36"/>
        </w:rPr>
      </w:pPr>
    </w:p>
    <w:p w14:paraId="041F3E6A">
      <w:pPr>
        <w:rPr>
          <w:rFonts w:ascii="宋体" w:cs="宋体"/>
          <w:sz w:val="36"/>
          <w:szCs w:val="36"/>
        </w:rPr>
      </w:pPr>
    </w:p>
    <w:p w14:paraId="3DAA2E44">
      <w:pPr>
        <w:snapToGrid w:val="0"/>
        <w:spacing w:line="360" w:lineRule="auto"/>
        <w:rPr>
          <w:rFonts w:ascii="宋体" w:cs="宋体"/>
          <w:b/>
          <w:szCs w:val="21"/>
        </w:rPr>
      </w:pPr>
      <w:r>
        <w:rPr>
          <w:rFonts w:ascii="宋体" w:cs="宋体"/>
          <w:b/>
          <w:szCs w:val="21"/>
        </w:rPr>
        <w:br w:type="page"/>
      </w:r>
    </w:p>
    <w:p w14:paraId="44BDC4AA">
      <w:pPr>
        <w:snapToGrid w:val="0"/>
        <w:spacing w:line="360" w:lineRule="auto"/>
        <w:rPr>
          <w:rFonts w:ascii="宋体" w:cs="宋体"/>
          <w:b/>
          <w:szCs w:val="21"/>
        </w:rPr>
      </w:pPr>
      <w:r>
        <w:rPr>
          <w:rFonts w:hint="eastAsia" w:ascii="宋体" w:hAnsi="宋体" w:cs="宋体"/>
          <w:b/>
          <w:szCs w:val="21"/>
        </w:rPr>
        <w:t>尊敬的磋商供应商：</w:t>
      </w:r>
    </w:p>
    <w:p w14:paraId="3F2E7F0E">
      <w:pPr>
        <w:snapToGrid w:val="0"/>
        <w:spacing w:line="360" w:lineRule="auto"/>
        <w:ind w:firstLine="422" w:firstLineChars="200"/>
        <w:rPr>
          <w:rFonts w:ascii="宋体" w:cs="宋体"/>
          <w:b/>
          <w:szCs w:val="21"/>
        </w:rPr>
      </w:pPr>
      <w:r>
        <w:rPr>
          <w:rFonts w:hint="eastAsia" w:ascii="宋体" w:hAnsi="宋体" w:cs="宋体"/>
          <w:b/>
          <w:szCs w:val="21"/>
        </w:rPr>
        <w:t>欢迎参加本采购项目的竞争性磋商。为了保证本次磋商项目顺利进行，请在制作响应文件之前，仔细阅读本竞争性磋商文件的各项条款，并按要求制作和递交响应文件。谢谢合作！</w:t>
      </w:r>
    </w:p>
    <w:p w14:paraId="75CD18FE">
      <w:pPr>
        <w:pStyle w:val="27"/>
        <w:tabs>
          <w:tab w:val="left" w:pos="1050"/>
          <w:tab w:val="right" w:leader="dot" w:pos="9402"/>
        </w:tabs>
        <w:spacing w:line="360" w:lineRule="auto"/>
        <w:ind w:left="0"/>
        <w:jc w:val="center"/>
        <w:outlineLvl w:val="0"/>
        <w:rPr>
          <w:rFonts w:hint="eastAsia" w:cs="宋体" w:asciiTheme="minorEastAsia" w:hAnsiTheme="minorEastAsia" w:eastAsiaTheme="minorEastAsia"/>
          <w:b/>
          <w:i w:val="0"/>
          <w:w w:val="80"/>
          <w:sz w:val="44"/>
          <w:szCs w:val="44"/>
        </w:rPr>
      </w:pPr>
      <w:bookmarkStart w:id="10" w:name="_Toc363573853"/>
      <w:r>
        <w:rPr>
          <w:rFonts w:hint="eastAsia" w:cs="宋体" w:asciiTheme="minorEastAsia" w:hAnsiTheme="minorEastAsia" w:eastAsiaTheme="minorEastAsia"/>
          <w:b/>
          <w:i w:val="0"/>
          <w:w w:val="80"/>
          <w:sz w:val="44"/>
          <w:szCs w:val="44"/>
        </w:rPr>
        <w:t>第一章</w:t>
      </w:r>
      <w:r>
        <w:rPr>
          <w:rFonts w:cs="宋体" w:asciiTheme="minorEastAsia" w:hAnsiTheme="minorEastAsia" w:eastAsiaTheme="minorEastAsia"/>
          <w:b/>
          <w:i w:val="0"/>
          <w:w w:val="80"/>
          <w:sz w:val="44"/>
          <w:szCs w:val="44"/>
        </w:rPr>
        <w:t xml:space="preserve">  </w:t>
      </w:r>
      <w:r>
        <w:rPr>
          <w:rFonts w:hint="eastAsia" w:cs="宋体" w:asciiTheme="minorEastAsia" w:hAnsiTheme="minorEastAsia" w:eastAsiaTheme="minorEastAsia"/>
          <w:b/>
          <w:i w:val="0"/>
          <w:w w:val="80"/>
          <w:sz w:val="44"/>
          <w:szCs w:val="44"/>
        </w:rPr>
        <w:t>竞争性磋商公</w:t>
      </w:r>
      <w:bookmarkEnd w:id="0"/>
      <w:bookmarkEnd w:id="1"/>
      <w:bookmarkEnd w:id="2"/>
      <w:bookmarkEnd w:id="3"/>
      <w:bookmarkEnd w:id="4"/>
      <w:bookmarkEnd w:id="5"/>
      <w:bookmarkEnd w:id="6"/>
      <w:bookmarkEnd w:id="7"/>
      <w:bookmarkEnd w:id="8"/>
      <w:bookmarkEnd w:id="9"/>
      <w:r>
        <w:rPr>
          <w:rFonts w:hint="eastAsia" w:cs="宋体" w:asciiTheme="minorEastAsia" w:hAnsiTheme="minorEastAsia" w:eastAsiaTheme="minorEastAsia"/>
          <w:b/>
          <w:i w:val="0"/>
          <w:w w:val="80"/>
          <w:sz w:val="44"/>
          <w:szCs w:val="44"/>
        </w:rPr>
        <w:t>告</w:t>
      </w:r>
      <w:bookmarkEnd w:id="10"/>
    </w:p>
    <w:p w14:paraId="5844D17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项目概况</w:t>
      </w:r>
    </w:p>
    <w:p w14:paraId="6324B28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u w:val="single"/>
        </w:rPr>
        <w:t>南通市图书馆智能化维保服务项目</w:t>
      </w:r>
      <w:r>
        <w:rPr>
          <w:rFonts w:hint="eastAsia" w:asciiTheme="minorEastAsia" w:hAnsiTheme="minorEastAsia" w:eastAsiaTheme="minorEastAsia"/>
          <w:sz w:val="24"/>
          <w:szCs w:val="24"/>
        </w:rPr>
        <w:t>的潜在供应商应在</w:t>
      </w:r>
      <w:bookmarkStart w:id="11" w:name="OLE_LINK9"/>
      <w:r>
        <w:rPr>
          <w:rFonts w:hint="eastAsia" w:asciiTheme="minorEastAsia" w:hAnsiTheme="minorEastAsia" w:eastAsiaTheme="minorEastAsia"/>
          <w:sz w:val="24"/>
          <w:szCs w:val="24"/>
          <w:u w:val="single"/>
        </w:rPr>
        <w:t>南通市图书馆-资讯-通图公告栏、</w:t>
      </w:r>
      <w:bookmarkEnd w:id="11"/>
      <w:r>
        <w:rPr>
          <w:rFonts w:hint="eastAsia" w:asciiTheme="minorEastAsia" w:hAnsiTheme="minorEastAsia" w:eastAsiaTheme="minorEastAsia"/>
          <w:sz w:val="24"/>
          <w:szCs w:val="24"/>
          <w:u w:val="single"/>
        </w:rPr>
        <w:t>南通市文化广电和旅游局-政府采购栏</w:t>
      </w:r>
      <w:r>
        <w:rPr>
          <w:rFonts w:hint="eastAsia" w:asciiTheme="minorEastAsia" w:hAnsiTheme="minorEastAsia" w:eastAsiaTheme="minorEastAsia"/>
          <w:sz w:val="24"/>
          <w:szCs w:val="24"/>
        </w:rPr>
        <w:t>获取采购文件，并于</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2025</w:t>
      </w:r>
      <w:r>
        <w:rPr>
          <w:rFonts w:hint="eastAsia" w:asciiTheme="minorEastAsia" w:hAnsiTheme="minorEastAsia" w:eastAsiaTheme="minorEastAsia"/>
          <w:bCs/>
          <w:sz w:val="24"/>
          <w:szCs w:val="24"/>
          <w:u w:val="single"/>
        </w:rPr>
        <w:t>年4月24日9点  30分</w:t>
      </w:r>
      <w:r>
        <w:rPr>
          <w:rFonts w:hint="eastAsia" w:asciiTheme="minorEastAsia" w:hAnsiTheme="minorEastAsia" w:eastAsiaTheme="minorEastAsia"/>
          <w:bCs/>
          <w:sz w:val="24"/>
          <w:szCs w:val="24"/>
        </w:rPr>
        <w:t>（北京时间）前提交响应</w:t>
      </w:r>
      <w:r>
        <w:rPr>
          <w:rFonts w:asciiTheme="minorEastAsia" w:hAnsiTheme="minorEastAsia" w:eastAsiaTheme="minorEastAsia"/>
          <w:bCs/>
          <w:sz w:val="24"/>
          <w:szCs w:val="24"/>
        </w:rPr>
        <w:t>文件</w:t>
      </w:r>
      <w:r>
        <w:rPr>
          <w:rFonts w:hint="eastAsia" w:asciiTheme="minorEastAsia" w:hAnsiTheme="minorEastAsia" w:eastAsiaTheme="minorEastAsia"/>
          <w:sz w:val="24"/>
          <w:szCs w:val="24"/>
        </w:rPr>
        <w:t>。</w:t>
      </w:r>
    </w:p>
    <w:p w14:paraId="11E2896B">
      <w:pPr>
        <w:widowControl/>
        <w:shd w:val="clear" w:color="auto" w:fill="FFFFFF"/>
        <w:spacing w:line="360" w:lineRule="auto"/>
        <w:ind w:firstLine="238"/>
        <w:jc w:val="left"/>
        <w:rPr>
          <w:rFonts w:hint="eastAsia" w:cs="Arial" w:asciiTheme="minorEastAsia" w:hAnsiTheme="minorEastAsia" w:eastAsiaTheme="minorEastAsia"/>
          <w:b/>
          <w:bCs/>
          <w:kern w:val="0"/>
          <w:sz w:val="24"/>
          <w:szCs w:val="24"/>
        </w:rPr>
      </w:pPr>
      <w:bookmarkStart w:id="12" w:name="_Toc11499584"/>
      <w:bookmarkStart w:id="13" w:name="_Toc94544744"/>
      <w:bookmarkStart w:id="14" w:name="_Toc94544828"/>
      <w:bookmarkStart w:id="15" w:name="_Toc521201597"/>
      <w:bookmarkStart w:id="16" w:name="_Toc11500280"/>
      <w:bookmarkStart w:id="17" w:name="_Toc521203418"/>
      <w:bookmarkStart w:id="18" w:name="_Toc11554639"/>
      <w:bookmarkStart w:id="19" w:name="_Toc12670503"/>
      <w:bookmarkStart w:id="20" w:name="_Toc8895739"/>
      <w:bookmarkStart w:id="21" w:name="_Toc94585340"/>
      <w:bookmarkStart w:id="22" w:name="_Toc363573854"/>
      <w:r>
        <w:rPr>
          <w:rFonts w:hint="eastAsia" w:cs="Arial" w:asciiTheme="minorEastAsia" w:hAnsiTheme="minorEastAsia" w:eastAsiaTheme="minorEastAsia"/>
          <w:b/>
          <w:bCs/>
          <w:kern w:val="0"/>
          <w:sz w:val="24"/>
          <w:szCs w:val="24"/>
        </w:rPr>
        <w:t>一、项目基本情况：</w:t>
      </w:r>
    </w:p>
    <w:p w14:paraId="3ABE7835">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项目编号：</w:t>
      </w:r>
      <w:r>
        <w:rPr>
          <w:rFonts w:cs="宋体" w:asciiTheme="minorEastAsia" w:hAnsiTheme="minorEastAsia" w:eastAsiaTheme="minorEastAsia"/>
          <w:sz w:val="24"/>
          <w:szCs w:val="24"/>
        </w:rPr>
        <w:t>NTWC2025020</w:t>
      </w:r>
      <w:r>
        <w:rPr>
          <w:rFonts w:hint="eastAsia" w:cs="Arial" w:asciiTheme="minorEastAsia" w:hAnsiTheme="minorEastAsia" w:eastAsiaTheme="minorEastAsia"/>
          <w:kern w:val="0"/>
          <w:sz w:val="24"/>
          <w:szCs w:val="24"/>
        </w:rPr>
        <w:t>；</w:t>
      </w:r>
    </w:p>
    <w:p w14:paraId="381654C8">
      <w:pPr>
        <w:widowControl/>
        <w:shd w:val="clear" w:color="auto" w:fill="FFFFFF"/>
        <w:spacing w:line="360" w:lineRule="auto"/>
        <w:ind w:firstLine="240" w:firstLineChars="100"/>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项目名称：南通市图书馆智能化维保服务项目；</w:t>
      </w:r>
    </w:p>
    <w:p w14:paraId="4BBF5A17">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采购方式：竞争性磋商；</w:t>
      </w:r>
    </w:p>
    <w:p w14:paraId="06F0119B">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预算金额：人民币49万元；</w:t>
      </w:r>
    </w:p>
    <w:p w14:paraId="42E01457">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最高限价：人民币49万元，磋商报价超过最高限价的为无效报价；</w:t>
      </w:r>
    </w:p>
    <w:p w14:paraId="29792DD1">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采购需求：详见竞争性磋商文件第三章；</w:t>
      </w:r>
    </w:p>
    <w:p w14:paraId="28DF6718">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合同履行期限：本项目涉及的租赁设备在合同签订之日起30个工作日内安装调试完成，维保服务自合同签订之日起一年。</w:t>
      </w:r>
    </w:p>
    <w:p w14:paraId="1D82D817">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本项目不接受联合体。</w:t>
      </w:r>
    </w:p>
    <w:p w14:paraId="3FA8B210">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bookmarkStart w:id="23" w:name="_Hlk190854632"/>
      <w:r>
        <w:rPr>
          <w:rFonts w:hint="eastAsia" w:cs="Arial" w:asciiTheme="minorEastAsia" w:hAnsiTheme="minorEastAsia" w:eastAsiaTheme="minorEastAsia"/>
          <w:b/>
          <w:bCs/>
          <w:kern w:val="0"/>
          <w:sz w:val="24"/>
          <w:szCs w:val="24"/>
        </w:rPr>
        <w:t>二、申请人的资格要求</w:t>
      </w:r>
    </w:p>
    <w:p w14:paraId="45C3E322">
      <w:pPr>
        <w:widowControl/>
        <w:shd w:val="clear" w:color="auto" w:fill="FFFFFF"/>
        <w:spacing w:line="360" w:lineRule="auto"/>
        <w:ind w:firstLine="480" w:firstLineChars="200"/>
        <w:jc w:val="left"/>
        <w:rPr>
          <w:rFonts w:hint="eastAsia" w:cs="宋体"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1、本项目的基本资格要求：</w:t>
      </w:r>
      <w:r>
        <w:rPr>
          <w:rFonts w:asciiTheme="minorEastAsia" w:hAnsiTheme="minorEastAsia" w:eastAsiaTheme="minorEastAsia"/>
          <w:sz w:val="24"/>
          <w:szCs w:val="24"/>
        </w:rPr>
        <w:t>具有独立承担民事责任的能力</w:t>
      </w:r>
      <w:r>
        <w:rPr>
          <w:rFonts w:hint="eastAsia" w:asciiTheme="minorEastAsia" w:hAnsiTheme="minorEastAsia" w:eastAsiaTheme="minorEastAsia"/>
          <w:sz w:val="24"/>
          <w:szCs w:val="24"/>
        </w:rPr>
        <w:t>；</w:t>
      </w:r>
      <w:r>
        <w:rPr>
          <w:rFonts w:asciiTheme="minorEastAsia" w:hAnsiTheme="minorEastAsia" w:eastAsiaTheme="minorEastAsia"/>
          <w:sz w:val="24"/>
          <w:szCs w:val="24"/>
        </w:rPr>
        <w:t>具有</w:t>
      </w:r>
      <w:r>
        <w:rPr>
          <w:rFonts w:hint="eastAsia" w:asciiTheme="minorEastAsia" w:hAnsiTheme="minorEastAsia" w:eastAsiaTheme="minorEastAsia"/>
          <w:sz w:val="24"/>
          <w:szCs w:val="24"/>
        </w:rPr>
        <w:t>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14:paraId="06ED6898">
      <w:pPr>
        <w:widowControl/>
        <w:shd w:val="clear" w:color="auto" w:fill="FFFFFF"/>
        <w:spacing w:line="360" w:lineRule="auto"/>
        <w:ind w:firstLine="480" w:firstLineChars="200"/>
        <w:jc w:val="left"/>
        <w:rPr>
          <w:rFonts w:hint="eastAsia" w:cs="宋体" w:asciiTheme="minorEastAsia" w:hAnsiTheme="minorEastAsia" w:eastAsiaTheme="minorEastAsia"/>
          <w:sz w:val="24"/>
          <w:szCs w:val="24"/>
        </w:rPr>
      </w:pPr>
      <w:r>
        <w:rPr>
          <w:rFonts w:hint="eastAsia" w:cs="宋体" w:asciiTheme="minorEastAsia" w:hAnsiTheme="minorEastAsia" w:eastAsiaTheme="minorEastAsia"/>
          <w:kern w:val="0"/>
          <w:sz w:val="24"/>
          <w:szCs w:val="24"/>
        </w:rPr>
        <w:t>2、</w:t>
      </w:r>
      <w:r>
        <w:rPr>
          <w:rFonts w:hint="eastAsia" w:cs="宋体" w:asciiTheme="minorEastAsia" w:hAnsiTheme="minorEastAsia" w:eastAsiaTheme="minorEastAsia"/>
          <w:sz w:val="24"/>
          <w:szCs w:val="24"/>
        </w:rPr>
        <w:t>本项目的特定资格要求：</w:t>
      </w:r>
      <w:r>
        <w:rPr>
          <w:rFonts w:cs="宋体" w:asciiTheme="minorEastAsia" w:hAnsiTheme="minorEastAsia" w:eastAsiaTheme="minorEastAsia"/>
          <w:sz w:val="24"/>
          <w:szCs w:val="24"/>
        </w:rPr>
        <w:t xml:space="preserve"> </w:t>
      </w:r>
    </w:p>
    <w:p w14:paraId="5CD24F81">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（1）供应商需提供有效的企业法人营业执照（副本）及税务登记证（副本）复印件；或者是三证合一的营业执照（副本）复印件。</w:t>
      </w:r>
    </w:p>
    <w:p w14:paraId="0B41023A">
      <w:pPr>
        <w:spacing w:line="360" w:lineRule="auto"/>
        <w:ind w:firstLine="480" w:firstLineChars="20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2）供应商法定代表人参加磋商的，必须提供法定代表人身份证明及法定代表人本人身份证复印件；非法定代表人参加磋商的，必须提供法定代表人签字或盖章的授权委托书及法定代表人、被授权人的两人身份证的复印件（格式参见第六章）。</w:t>
      </w:r>
    </w:p>
    <w:p w14:paraId="57FF0FEF">
      <w:pPr>
        <w:spacing w:line="360" w:lineRule="auto"/>
        <w:ind w:firstLine="480" w:firstLineChars="200"/>
        <w:rPr>
          <w:rFonts w:hint="eastAsia" w:asciiTheme="minorEastAsia" w:hAnsiTheme="minorEastAsia" w:eastAsiaTheme="minorEastAsia"/>
          <w:kern w:val="0"/>
          <w:sz w:val="24"/>
          <w:szCs w:val="24"/>
        </w:rPr>
      </w:pPr>
      <w:r>
        <w:rPr>
          <w:rFonts w:hint="eastAsia" w:asciiTheme="minorEastAsia" w:hAnsiTheme="minorEastAsia" w:eastAsiaTheme="minorEastAsia"/>
          <w:sz w:val="24"/>
          <w:szCs w:val="24"/>
        </w:rPr>
        <w:t>（3）</w:t>
      </w:r>
      <w:r>
        <w:rPr>
          <w:rFonts w:hint="eastAsia" w:cs="宋体" w:asciiTheme="minorEastAsia" w:hAnsiTheme="minorEastAsia" w:eastAsiaTheme="minorEastAsia"/>
          <w:sz w:val="24"/>
          <w:szCs w:val="24"/>
        </w:rPr>
        <w:t>供应商须提供资格文件声明函（原件）。（格式参见第六章）</w:t>
      </w:r>
    </w:p>
    <w:p w14:paraId="6F132BBF">
      <w:pPr>
        <w:widowControl/>
        <w:shd w:val="clear" w:color="auto" w:fill="FFFFFF"/>
        <w:spacing w:line="360" w:lineRule="auto"/>
        <w:ind w:firstLine="480" w:firstLineChars="200"/>
        <w:jc w:val="left"/>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3、未被“信用中国”网站（www.creditchina.gov.cn）列入失信被执行人、重大税收违法失信主体名单、政府采购严重违法失信行为记录名单。</w:t>
      </w:r>
    </w:p>
    <w:p w14:paraId="4D823C1E">
      <w:pPr>
        <w:widowControl/>
        <w:shd w:val="clear" w:color="auto" w:fill="FFFFFF"/>
        <w:spacing w:line="360" w:lineRule="auto"/>
        <w:ind w:firstLine="480" w:firstLineChars="200"/>
        <w:jc w:val="left"/>
        <w:rPr>
          <w:rFonts w:hint="eastAsia"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4、符合相关法律、法规规定的其他要求。</w:t>
      </w:r>
    </w:p>
    <w:p w14:paraId="18491CF3">
      <w:pPr>
        <w:widowControl/>
        <w:snapToGrid w:val="0"/>
        <w:spacing w:line="360" w:lineRule="auto"/>
        <w:ind w:firstLine="482" w:firstLineChars="200"/>
        <w:jc w:val="left"/>
        <w:rPr>
          <w:rFonts w:hint="eastAsia" w:cs="宋体" w:asciiTheme="minorEastAsia" w:hAnsiTheme="minorEastAsia" w:eastAsiaTheme="minorEastAsia"/>
          <w:b/>
          <w:bCs/>
          <w:sz w:val="24"/>
          <w:szCs w:val="24"/>
        </w:rPr>
      </w:pPr>
      <w:r>
        <w:rPr>
          <w:rFonts w:hint="eastAsia" w:cs="宋体" w:asciiTheme="minorEastAsia" w:hAnsiTheme="minorEastAsia" w:eastAsiaTheme="minorEastAsia"/>
          <w:b/>
          <w:bCs/>
          <w:sz w:val="24"/>
          <w:szCs w:val="24"/>
        </w:rPr>
        <w:t>【特别提醒】单位负责人为同一人或者存在直接控股、管理关系的不同供应商，不得参加同一合同项下的采购活动；为采购项目提供整体设计、规范编制或者项目管理、监理、检测等服务的供应商，不得再参加该采购项目的其他采购活动。</w:t>
      </w:r>
    </w:p>
    <w:p w14:paraId="47E845C8">
      <w:pPr>
        <w:widowControl/>
        <w:snapToGrid w:val="0"/>
        <w:spacing w:line="360" w:lineRule="auto"/>
        <w:ind w:firstLine="482" w:firstLineChars="200"/>
        <w:jc w:val="left"/>
        <w:rPr>
          <w:rFonts w:hint="eastAsia" w:cs="宋体" w:asciiTheme="minorEastAsia" w:hAnsiTheme="minorEastAsia" w:eastAsiaTheme="minorEastAsia"/>
          <w:b/>
          <w:bCs/>
          <w:sz w:val="24"/>
          <w:szCs w:val="24"/>
        </w:rPr>
      </w:pPr>
      <w:r>
        <w:rPr>
          <w:rFonts w:hint="eastAsia" w:cs="宋体" w:asciiTheme="minorEastAsia" w:hAnsiTheme="minorEastAsia" w:eastAsiaTheme="minorEastAsia"/>
          <w:b/>
          <w:bCs/>
          <w:sz w:val="24"/>
          <w:szCs w:val="24"/>
        </w:rPr>
        <w:t>如发现供应商递交的资格后审材料有弄虚作假行为，该供应商将记入不良记录，并上报有关部门，如已成交，采购人有权取消其</w:t>
      </w:r>
      <w:bookmarkEnd w:id="23"/>
      <w:r>
        <w:rPr>
          <w:rFonts w:hint="eastAsia" w:cs="宋体" w:asciiTheme="minorEastAsia" w:hAnsiTheme="minorEastAsia" w:eastAsiaTheme="minorEastAsia"/>
          <w:b/>
          <w:bCs/>
          <w:sz w:val="24"/>
          <w:szCs w:val="24"/>
        </w:rPr>
        <w:t>成交资格，并由该供应商承担由此带来可能的一切责任和损失。</w:t>
      </w:r>
    </w:p>
    <w:p w14:paraId="34C9E9A4">
      <w:pPr>
        <w:widowControl/>
        <w:snapToGrid w:val="0"/>
        <w:spacing w:line="360" w:lineRule="auto"/>
        <w:ind w:firstLine="482" w:firstLineChars="200"/>
        <w:jc w:val="left"/>
        <w:rPr>
          <w:rFonts w:hint="eastAsia" w:asciiTheme="minorEastAsia" w:hAnsiTheme="minorEastAsia" w:eastAsiaTheme="minorEastAsia"/>
          <w:b/>
          <w:bCs/>
          <w:sz w:val="24"/>
          <w:szCs w:val="24"/>
        </w:rPr>
      </w:pPr>
      <w:r>
        <w:rPr>
          <w:rFonts w:hint="eastAsia" w:cs="宋体" w:asciiTheme="minorEastAsia" w:hAnsiTheme="minorEastAsia" w:eastAsiaTheme="minorEastAsia"/>
          <w:b/>
          <w:bCs/>
          <w:sz w:val="24"/>
          <w:szCs w:val="24"/>
        </w:rPr>
        <w:t>非采购人原因成交人放弃成交资格的，报财政部门将其列入采购黑名单。</w:t>
      </w:r>
    </w:p>
    <w:p w14:paraId="41150634">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b/>
          <w:bCs/>
          <w:kern w:val="0"/>
          <w:sz w:val="24"/>
          <w:szCs w:val="24"/>
        </w:rPr>
        <w:t>三、获取采购文件</w:t>
      </w:r>
    </w:p>
    <w:p w14:paraId="5E9BD99F">
      <w:pPr>
        <w:widowControl/>
        <w:shd w:val="clear" w:color="auto" w:fill="FFFFFF"/>
        <w:spacing w:line="360" w:lineRule="auto"/>
        <w:ind w:firstLine="480" w:firstLineChars="200"/>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时间：2025年4月11日至2025年4月24日</w:t>
      </w:r>
    </w:p>
    <w:p w14:paraId="1BF895B6">
      <w:pPr>
        <w:widowControl/>
        <w:shd w:val="clear" w:color="auto" w:fill="FFFFFF"/>
        <w:spacing w:line="360" w:lineRule="auto"/>
        <w:ind w:firstLine="480" w:firstLineChars="200"/>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地点：</w:t>
      </w:r>
      <w:bookmarkStart w:id="24" w:name="_Hlk190851452"/>
      <w:r>
        <w:rPr>
          <w:rFonts w:hint="eastAsia" w:asciiTheme="minorEastAsia" w:hAnsiTheme="minorEastAsia" w:eastAsiaTheme="minorEastAsia"/>
          <w:sz w:val="24"/>
          <w:szCs w:val="24"/>
        </w:rPr>
        <w:t>南通市图书馆-资讯-通图公告栏、南通市文化广电和旅游局-政府采购栏</w:t>
      </w:r>
    </w:p>
    <w:bookmarkEnd w:id="24"/>
    <w:p w14:paraId="2A941EA4">
      <w:pPr>
        <w:widowControl/>
        <w:shd w:val="clear" w:color="auto" w:fill="FFFFFF"/>
        <w:spacing w:line="360" w:lineRule="auto"/>
        <w:ind w:firstLine="480" w:firstLineChars="200"/>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方式：自行下载</w:t>
      </w:r>
    </w:p>
    <w:p w14:paraId="0F6843E9">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b/>
          <w:bCs/>
          <w:kern w:val="0"/>
          <w:sz w:val="24"/>
          <w:szCs w:val="24"/>
        </w:rPr>
        <w:t>四、响应文件提交</w:t>
      </w:r>
    </w:p>
    <w:p w14:paraId="2E01FC51">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1.截止时间：</w:t>
      </w:r>
      <w:r>
        <w:rPr>
          <w:rFonts w:hint="eastAsia" w:cs="Arial" w:asciiTheme="minorEastAsia" w:hAnsiTheme="minorEastAsia" w:eastAsiaTheme="minorEastAsia"/>
          <w:b/>
          <w:bCs/>
          <w:kern w:val="0"/>
          <w:sz w:val="24"/>
          <w:szCs w:val="24"/>
        </w:rPr>
        <w:t>2025年4月24日9时30分</w:t>
      </w:r>
      <w:r>
        <w:rPr>
          <w:rFonts w:hint="eastAsia" w:cs="Arial" w:asciiTheme="minorEastAsia" w:hAnsiTheme="minorEastAsia" w:eastAsiaTheme="minorEastAsia"/>
          <w:kern w:val="0"/>
          <w:sz w:val="24"/>
          <w:szCs w:val="24"/>
        </w:rPr>
        <w:t>（北京时间）。</w:t>
      </w:r>
    </w:p>
    <w:p w14:paraId="1D396B85">
      <w:pPr>
        <w:widowControl/>
        <w:shd w:val="clear" w:color="auto" w:fill="FFFFFF"/>
        <w:spacing w:line="360" w:lineRule="auto"/>
        <w:ind w:firstLine="238"/>
        <w:jc w:val="left"/>
        <w:rPr>
          <w:rFonts w:hint="eastAsia" w:asciiTheme="minorEastAsia" w:hAnsiTheme="minorEastAsia" w:eastAsiaTheme="minorEastAsia"/>
          <w:sz w:val="24"/>
          <w:szCs w:val="24"/>
        </w:rPr>
      </w:pPr>
      <w:r>
        <w:rPr>
          <w:rFonts w:hint="eastAsia" w:cs="Arial" w:asciiTheme="minorEastAsia" w:hAnsiTheme="minorEastAsia" w:eastAsiaTheme="minorEastAsia"/>
          <w:kern w:val="0"/>
          <w:sz w:val="24"/>
          <w:szCs w:val="24"/>
        </w:rPr>
        <w:t>2.</w:t>
      </w:r>
      <w:r>
        <w:rPr>
          <w:rFonts w:hint="eastAsia"/>
        </w:rPr>
        <w:t xml:space="preserve"> </w:t>
      </w:r>
      <w:r>
        <w:rPr>
          <w:rFonts w:hint="eastAsia" w:cs="Arial" w:asciiTheme="minorEastAsia" w:hAnsiTheme="minorEastAsia" w:eastAsiaTheme="minorEastAsia"/>
          <w:kern w:val="0"/>
          <w:sz w:val="24"/>
          <w:szCs w:val="24"/>
        </w:rPr>
        <w:t>地点：南通市图书馆（南通市崇川区崇文路2号）五楼505会议室，如有变动另行通知。</w:t>
      </w:r>
    </w:p>
    <w:p w14:paraId="3EDE9AB8">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b/>
          <w:bCs/>
          <w:kern w:val="0"/>
          <w:sz w:val="24"/>
          <w:szCs w:val="24"/>
        </w:rPr>
        <w:t>五、开启</w:t>
      </w:r>
    </w:p>
    <w:p w14:paraId="7CE250AB">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1.时间：</w:t>
      </w:r>
      <w:r>
        <w:rPr>
          <w:rFonts w:hint="eastAsia" w:cs="Arial" w:asciiTheme="minorEastAsia" w:hAnsiTheme="minorEastAsia" w:eastAsiaTheme="minorEastAsia"/>
          <w:b/>
          <w:bCs/>
          <w:kern w:val="0"/>
          <w:sz w:val="24"/>
          <w:szCs w:val="24"/>
        </w:rPr>
        <w:t>2025年4月24日9时30分</w:t>
      </w:r>
      <w:r>
        <w:rPr>
          <w:rFonts w:hint="eastAsia" w:cs="Arial" w:asciiTheme="minorEastAsia" w:hAnsiTheme="minorEastAsia" w:eastAsiaTheme="minorEastAsia"/>
          <w:kern w:val="0"/>
          <w:sz w:val="24"/>
          <w:szCs w:val="24"/>
        </w:rPr>
        <w:t>（北京时间）</w:t>
      </w:r>
    </w:p>
    <w:p w14:paraId="113DA96F">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2.地点：南通市图书馆（南通市崇川区崇文路2号）五楼505会议室，如有变动另行通知。</w:t>
      </w:r>
    </w:p>
    <w:p w14:paraId="0599BDCD">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b/>
          <w:bCs/>
          <w:kern w:val="0"/>
          <w:sz w:val="24"/>
          <w:szCs w:val="24"/>
        </w:rPr>
        <w:t>六、公告期限</w:t>
      </w:r>
    </w:p>
    <w:p w14:paraId="761316F8">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自本公告发布之日起3个工作日。</w:t>
      </w:r>
    </w:p>
    <w:p w14:paraId="55651C75">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b/>
          <w:bCs/>
          <w:kern w:val="0"/>
          <w:sz w:val="24"/>
          <w:szCs w:val="24"/>
        </w:rPr>
        <w:t>七、其他补充事宜</w:t>
      </w:r>
      <w:r>
        <w:rPr>
          <w:rFonts w:hint="eastAsia" w:cs="Arial" w:asciiTheme="minorEastAsia" w:hAnsiTheme="minorEastAsia" w:eastAsiaTheme="minorEastAsia"/>
          <w:kern w:val="0"/>
          <w:sz w:val="24"/>
          <w:szCs w:val="24"/>
        </w:rPr>
        <w:t>：</w:t>
      </w:r>
    </w:p>
    <w:p w14:paraId="230191CB">
      <w:pPr>
        <w:snapToGrid w:val="0"/>
        <w:spacing w:line="360" w:lineRule="auto"/>
        <w:ind w:firstLine="480" w:firstLineChars="200"/>
        <w:rPr>
          <w:rFonts w:hint="eastAsia" w:asciiTheme="majorEastAsia" w:hAnsiTheme="majorEastAsia" w:eastAsiaTheme="majorEastAsia"/>
          <w:sz w:val="24"/>
          <w:szCs w:val="24"/>
        </w:rPr>
      </w:pPr>
      <w:r>
        <w:rPr>
          <w:rFonts w:asciiTheme="majorEastAsia" w:hAnsiTheme="majorEastAsia" w:eastAsiaTheme="majorEastAsia"/>
          <w:sz w:val="24"/>
          <w:szCs w:val="24"/>
        </w:rPr>
        <w:t>1</w:t>
      </w:r>
      <w:r>
        <w:rPr>
          <w:rFonts w:hint="eastAsia" w:asciiTheme="majorEastAsia" w:hAnsiTheme="majorEastAsia" w:eastAsiaTheme="majorEastAsia"/>
          <w:sz w:val="24"/>
          <w:szCs w:val="24"/>
        </w:rPr>
        <w:t>.</w:t>
      </w:r>
      <w:r>
        <w:rPr>
          <w:rFonts w:asciiTheme="majorEastAsia" w:hAnsiTheme="majorEastAsia" w:eastAsiaTheme="majorEastAsia"/>
          <w:sz w:val="24"/>
          <w:szCs w:val="24"/>
        </w:rPr>
        <w:t>保证金：免收</w:t>
      </w:r>
    </w:p>
    <w:p w14:paraId="0E42D1B2">
      <w:pPr>
        <w:snapToGrid w:val="0"/>
        <w:spacing w:line="360" w:lineRule="auto"/>
        <w:ind w:firstLine="480" w:firstLineChars="200"/>
        <w:rPr>
          <w:rFonts w:hint="eastAsia" w:asciiTheme="majorEastAsia" w:hAnsiTheme="majorEastAsia" w:eastAsiaTheme="majorEastAsia"/>
          <w:b/>
          <w:sz w:val="24"/>
          <w:szCs w:val="24"/>
        </w:rPr>
      </w:pPr>
      <w:r>
        <w:rPr>
          <w:rFonts w:asciiTheme="majorEastAsia" w:hAnsiTheme="majorEastAsia" w:eastAsiaTheme="majorEastAsia"/>
          <w:sz w:val="24"/>
          <w:szCs w:val="24"/>
        </w:rPr>
        <w:t>2</w:t>
      </w:r>
      <w:r>
        <w:rPr>
          <w:rFonts w:hint="eastAsia" w:asciiTheme="majorEastAsia" w:hAnsiTheme="majorEastAsia" w:eastAsiaTheme="majorEastAsia"/>
          <w:sz w:val="24"/>
          <w:szCs w:val="24"/>
        </w:rPr>
        <w:t>.</w:t>
      </w:r>
      <w:r>
        <w:rPr>
          <w:rFonts w:asciiTheme="majorEastAsia" w:hAnsiTheme="majorEastAsia" w:eastAsiaTheme="majorEastAsia"/>
          <w:sz w:val="24"/>
          <w:szCs w:val="24"/>
        </w:rPr>
        <w:t>项目</w:t>
      </w:r>
      <w:r>
        <w:rPr>
          <w:rFonts w:hint="eastAsia" w:asciiTheme="majorEastAsia" w:hAnsiTheme="majorEastAsia" w:eastAsiaTheme="majorEastAsia"/>
          <w:sz w:val="24"/>
          <w:szCs w:val="24"/>
        </w:rPr>
        <w:t>磋商</w:t>
      </w:r>
      <w:r>
        <w:rPr>
          <w:rFonts w:asciiTheme="majorEastAsia" w:hAnsiTheme="majorEastAsia" w:eastAsiaTheme="majorEastAsia"/>
          <w:sz w:val="24"/>
          <w:szCs w:val="24"/>
        </w:rPr>
        <w:t>活动模式：</w:t>
      </w:r>
      <w:r>
        <w:rPr>
          <w:rFonts w:asciiTheme="majorEastAsia" w:hAnsiTheme="majorEastAsia" w:eastAsiaTheme="majorEastAsia"/>
          <w:bCs/>
          <w:sz w:val="24"/>
          <w:szCs w:val="24"/>
        </w:rPr>
        <w:t>现场模式</w:t>
      </w:r>
    </w:p>
    <w:p w14:paraId="34734EF0">
      <w:pPr>
        <w:snapToGrid w:val="0"/>
        <w:spacing w:line="360" w:lineRule="auto"/>
        <w:ind w:firstLine="480" w:firstLineChars="200"/>
        <w:rPr>
          <w:rFonts w:hint="eastAsia" w:asciiTheme="majorEastAsia" w:hAnsiTheme="majorEastAsia" w:eastAsiaTheme="majorEastAsia"/>
          <w:sz w:val="24"/>
          <w:szCs w:val="24"/>
        </w:rPr>
      </w:pPr>
      <w:r>
        <w:rPr>
          <w:rFonts w:asciiTheme="majorEastAsia" w:hAnsiTheme="majorEastAsia" w:eastAsiaTheme="majorEastAsia"/>
          <w:sz w:val="24"/>
          <w:szCs w:val="24"/>
        </w:rPr>
        <w:t>3</w:t>
      </w:r>
      <w:r>
        <w:rPr>
          <w:rFonts w:hint="eastAsia" w:asciiTheme="majorEastAsia" w:hAnsiTheme="majorEastAsia" w:eastAsiaTheme="majorEastAsia"/>
          <w:sz w:val="24"/>
          <w:szCs w:val="24"/>
        </w:rPr>
        <w:t>.</w:t>
      </w:r>
      <w:r>
        <w:rPr>
          <w:rFonts w:asciiTheme="majorEastAsia" w:hAnsiTheme="majorEastAsia" w:eastAsiaTheme="majorEastAsia"/>
          <w:sz w:val="24"/>
          <w:szCs w:val="24"/>
        </w:rPr>
        <w:t>项目演示、样品、答辩等：无</w:t>
      </w:r>
    </w:p>
    <w:p w14:paraId="46A82CA5">
      <w:pPr>
        <w:snapToGrid w:val="0"/>
        <w:spacing w:line="360" w:lineRule="auto"/>
        <w:ind w:firstLine="480" w:firstLineChars="200"/>
        <w:rPr>
          <w:rFonts w:hint="eastAsia" w:asciiTheme="majorEastAsia" w:hAnsiTheme="majorEastAsia" w:eastAsiaTheme="majorEastAsia"/>
          <w:sz w:val="24"/>
          <w:szCs w:val="24"/>
        </w:rPr>
      </w:pPr>
      <w:r>
        <w:rPr>
          <w:rFonts w:asciiTheme="majorEastAsia" w:hAnsiTheme="majorEastAsia" w:eastAsiaTheme="majorEastAsia"/>
          <w:sz w:val="24"/>
          <w:szCs w:val="24"/>
        </w:rPr>
        <w:t>4</w:t>
      </w:r>
      <w:r>
        <w:rPr>
          <w:rFonts w:hint="eastAsia" w:asciiTheme="majorEastAsia" w:hAnsiTheme="majorEastAsia" w:eastAsiaTheme="majorEastAsia"/>
          <w:sz w:val="24"/>
          <w:szCs w:val="24"/>
        </w:rPr>
        <w:t>.</w:t>
      </w:r>
      <w:r>
        <w:rPr>
          <w:rFonts w:asciiTheme="majorEastAsia" w:hAnsiTheme="majorEastAsia" w:eastAsiaTheme="majorEastAsia"/>
          <w:sz w:val="24"/>
          <w:szCs w:val="24"/>
        </w:rPr>
        <w:t>供应商应依照规定提交各类声明函、承诺函，不再同时提供原件备查或提供有关部门出具的相关证明文件。但成交供应商，应做好提交声明函、承诺函相应原件的核查准备；核查后发现虚假或违背承诺的，依照相关法律法规规定处理。</w:t>
      </w:r>
    </w:p>
    <w:p w14:paraId="3CC59F84">
      <w:pPr>
        <w:widowControl/>
        <w:shd w:val="clear" w:color="auto" w:fill="FFFFFF"/>
        <w:spacing w:line="360" w:lineRule="auto"/>
        <w:ind w:firstLine="238"/>
        <w:jc w:val="left"/>
        <w:rPr>
          <w:rFonts w:hint="eastAsia" w:cs="Arial" w:asciiTheme="minorEastAsia" w:hAnsiTheme="minorEastAsia" w:eastAsiaTheme="minorEastAsia"/>
          <w:b/>
          <w:bCs/>
          <w:kern w:val="0"/>
          <w:sz w:val="24"/>
          <w:szCs w:val="24"/>
        </w:rPr>
      </w:pPr>
      <w:r>
        <w:rPr>
          <w:rFonts w:hint="eastAsia" w:cs="Arial" w:asciiTheme="minorEastAsia" w:hAnsiTheme="minorEastAsia" w:eastAsiaTheme="minorEastAsia"/>
          <w:b/>
          <w:bCs/>
          <w:kern w:val="0"/>
          <w:sz w:val="24"/>
          <w:szCs w:val="24"/>
        </w:rPr>
        <w:t>八、凡对本次采购提出询问，请按以下方式联系</w:t>
      </w:r>
    </w:p>
    <w:p w14:paraId="0485622C">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1.采购人信息</w:t>
      </w:r>
    </w:p>
    <w:p w14:paraId="0C13F5F3">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名称：南通市图书馆</w:t>
      </w:r>
    </w:p>
    <w:p w14:paraId="74CF1516">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地址：南通市崇川区崇文路2号</w:t>
      </w:r>
    </w:p>
    <w:p w14:paraId="4768D478">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 xml:space="preserve">联系方式：0513-59003810       </w:t>
      </w:r>
    </w:p>
    <w:p w14:paraId="1BABD397">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2.主管部门</w:t>
      </w:r>
    </w:p>
    <w:p w14:paraId="29E11316">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名称：南通市文化广电和旅游局</w:t>
      </w:r>
    </w:p>
    <w:p w14:paraId="3AA5F48E">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地址：南通市崇川区世纪大道6号</w:t>
      </w:r>
    </w:p>
    <w:p w14:paraId="0BA3C2F5">
      <w:pPr>
        <w:widowControl/>
        <w:shd w:val="clear" w:color="auto" w:fill="FFFFFF"/>
        <w:spacing w:line="360" w:lineRule="auto"/>
        <w:ind w:firstLine="238"/>
        <w:jc w:val="left"/>
        <w:rPr>
          <w:rFonts w:hint="eastAsia" w:cs="Arial" w:asciiTheme="minorEastAsia" w:hAnsiTheme="minorEastAsia" w:eastAsiaTheme="minorEastAsia"/>
          <w:bCs/>
          <w:kern w:val="0"/>
          <w:sz w:val="24"/>
          <w:szCs w:val="24"/>
        </w:rPr>
      </w:pPr>
      <w:r>
        <w:rPr>
          <w:rFonts w:hint="eastAsia" w:cs="Arial" w:asciiTheme="minorEastAsia" w:hAnsiTheme="minorEastAsia" w:eastAsiaTheme="minorEastAsia"/>
          <w:bCs/>
          <w:kern w:val="0"/>
          <w:sz w:val="24"/>
          <w:szCs w:val="24"/>
        </w:rPr>
        <w:t>联系方式：</w:t>
      </w:r>
      <w:r>
        <w:rPr>
          <w:rFonts w:cs="Arial" w:asciiTheme="minorEastAsia" w:hAnsiTheme="minorEastAsia" w:eastAsiaTheme="minorEastAsia"/>
          <w:bCs/>
          <w:kern w:val="0"/>
          <w:sz w:val="24"/>
          <w:szCs w:val="24"/>
        </w:rPr>
        <w:t>0513-85099576</w:t>
      </w:r>
    </w:p>
    <w:p w14:paraId="247ADC8A">
      <w:pPr>
        <w:widowControl/>
        <w:shd w:val="clear" w:color="auto" w:fill="FFFFFF"/>
        <w:spacing w:line="360" w:lineRule="auto"/>
        <w:ind w:firstLine="240" w:firstLineChars="100"/>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3.采购代理机构信息</w:t>
      </w:r>
    </w:p>
    <w:p w14:paraId="186B6211">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名称：南通通城建设工程项目管理有限公司</w:t>
      </w:r>
    </w:p>
    <w:p w14:paraId="6A9DE809">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地址：南通市崇川区工农南路156号鑫乾广场A座22楼2202室</w:t>
      </w:r>
    </w:p>
    <w:p w14:paraId="46DB9482">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联系方式：18906296209</w:t>
      </w:r>
    </w:p>
    <w:p w14:paraId="70DD2700">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3.项目联系方式：</w:t>
      </w:r>
    </w:p>
    <w:p w14:paraId="6F2E1ACA">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项目联系人：杨伟</w:t>
      </w:r>
    </w:p>
    <w:p w14:paraId="56C6B7E2">
      <w:pPr>
        <w:widowControl/>
        <w:shd w:val="clear" w:color="auto" w:fill="FFFFFF"/>
        <w:spacing w:line="360" w:lineRule="auto"/>
        <w:ind w:firstLine="238"/>
        <w:jc w:val="left"/>
        <w:rPr>
          <w:rFonts w:hint="eastAsia" w:cs="Arial" w:asciiTheme="minorEastAsia" w:hAnsiTheme="minorEastAsia" w:eastAsiaTheme="minorEastAsia"/>
          <w:kern w:val="0"/>
          <w:sz w:val="24"/>
          <w:szCs w:val="24"/>
        </w:rPr>
      </w:pPr>
      <w:r>
        <w:rPr>
          <w:rFonts w:hint="eastAsia" w:cs="Arial" w:asciiTheme="minorEastAsia" w:hAnsiTheme="minorEastAsia" w:eastAsiaTheme="minorEastAsia"/>
          <w:kern w:val="0"/>
          <w:sz w:val="24"/>
          <w:szCs w:val="24"/>
        </w:rPr>
        <w:t>电话：18906296209</w:t>
      </w:r>
    </w:p>
    <w:p w14:paraId="208946B9">
      <w:pPr>
        <w:pStyle w:val="2"/>
        <w:keepNext w:val="0"/>
        <w:keepLines w:val="0"/>
        <w:snapToGrid w:val="0"/>
        <w:spacing w:before="0" w:after="0" w:line="360" w:lineRule="auto"/>
        <w:jc w:val="center"/>
        <w:rPr>
          <w:rFonts w:hint="eastAsia" w:ascii="宋体" w:hAnsi="宋体" w:cs="宋体"/>
          <w:w w:val="80"/>
          <w:szCs w:val="44"/>
        </w:rPr>
      </w:pPr>
    </w:p>
    <w:p w14:paraId="4D6AF715">
      <w:pPr>
        <w:pStyle w:val="2"/>
        <w:keepNext w:val="0"/>
        <w:keepLines w:val="0"/>
        <w:snapToGrid w:val="0"/>
        <w:spacing w:before="0" w:after="0" w:line="360" w:lineRule="auto"/>
        <w:jc w:val="center"/>
        <w:rPr>
          <w:rFonts w:hint="eastAsia" w:ascii="宋体" w:hAnsi="宋体" w:cs="宋体"/>
          <w:w w:val="80"/>
          <w:szCs w:val="44"/>
        </w:rPr>
      </w:pPr>
    </w:p>
    <w:p w14:paraId="1B95AC3C">
      <w:pPr>
        <w:pStyle w:val="2"/>
        <w:keepNext w:val="0"/>
        <w:keepLines w:val="0"/>
        <w:snapToGrid w:val="0"/>
        <w:spacing w:before="0" w:after="0" w:line="360" w:lineRule="auto"/>
        <w:jc w:val="center"/>
        <w:rPr>
          <w:rFonts w:hint="eastAsia" w:ascii="宋体" w:hAnsi="宋体" w:cs="宋体"/>
          <w:w w:val="80"/>
          <w:szCs w:val="44"/>
        </w:rPr>
      </w:pPr>
    </w:p>
    <w:p w14:paraId="57FD37D6">
      <w:pPr>
        <w:pStyle w:val="2"/>
        <w:keepNext w:val="0"/>
        <w:keepLines w:val="0"/>
        <w:snapToGrid w:val="0"/>
        <w:spacing w:before="0" w:after="0" w:line="360" w:lineRule="auto"/>
        <w:jc w:val="center"/>
        <w:rPr>
          <w:rFonts w:hint="eastAsia" w:ascii="宋体" w:hAnsi="宋体" w:cs="宋体"/>
          <w:w w:val="80"/>
          <w:szCs w:val="44"/>
        </w:rPr>
      </w:pPr>
    </w:p>
    <w:p w14:paraId="2853F5DE">
      <w:pPr>
        <w:pStyle w:val="2"/>
        <w:keepNext w:val="0"/>
        <w:keepLines w:val="0"/>
        <w:snapToGrid w:val="0"/>
        <w:spacing w:before="0" w:after="0" w:line="360" w:lineRule="auto"/>
        <w:jc w:val="center"/>
        <w:rPr>
          <w:rFonts w:hint="eastAsia" w:ascii="宋体" w:hAnsi="宋体" w:cs="宋体"/>
          <w:w w:val="80"/>
          <w:szCs w:val="44"/>
        </w:rPr>
      </w:pPr>
    </w:p>
    <w:p w14:paraId="380C196B">
      <w:pPr>
        <w:rPr>
          <w:rFonts w:hint="eastAsia" w:ascii="宋体" w:hAnsi="宋体" w:cs="宋体"/>
          <w:w w:val="80"/>
          <w:szCs w:val="44"/>
        </w:rPr>
      </w:pPr>
      <w:r>
        <w:rPr>
          <w:rFonts w:hint="eastAsia" w:ascii="宋体" w:hAnsi="宋体" w:cs="宋体"/>
          <w:w w:val="80"/>
          <w:szCs w:val="44"/>
        </w:rPr>
        <w:br w:type="page"/>
      </w:r>
    </w:p>
    <w:p w14:paraId="4337FA8F">
      <w:pPr>
        <w:pStyle w:val="2"/>
        <w:keepNext w:val="0"/>
        <w:keepLines w:val="0"/>
        <w:snapToGrid w:val="0"/>
        <w:spacing w:before="0" w:after="0" w:line="360" w:lineRule="auto"/>
        <w:jc w:val="center"/>
        <w:rPr>
          <w:rFonts w:ascii="宋体" w:cs="宋体"/>
          <w:w w:val="80"/>
          <w:szCs w:val="44"/>
        </w:rPr>
      </w:pPr>
      <w:r>
        <w:rPr>
          <w:rFonts w:hint="eastAsia" w:ascii="宋体" w:hAnsi="宋体" w:cs="宋体"/>
          <w:w w:val="80"/>
          <w:szCs w:val="44"/>
        </w:rPr>
        <w:t>第二章</w:t>
      </w:r>
      <w:r>
        <w:rPr>
          <w:rFonts w:ascii="宋体" w:hAnsi="宋体" w:cs="宋体"/>
          <w:w w:val="80"/>
          <w:szCs w:val="44"/>
        </w:rPr>
        <w:t xml:space="preserve">  </w:t>
      </w:r>
      <w:bookmarkEnd w:id="12"/>
      <w:bookmarkEnd w:id="13"/>
      <w:bookmarkEnd w:id="14"/>
      <w:bookmarkEnd w:id="15"/>
      <w:bookmarkEnd w:id="16"/>
      <w:bookmarkEnd w:id="17"/>
      <w:bookmarkEnd w:id="18"/>
      <w:bookmarkEnd w:id="19"/>
      <w:bookmarkEnd w:id="20"/>
      <w:bookmarkEnd w:id="21"/>
      <w:r>
        <w:rPr>
          <w:rFonts w:hint="eastAsia" w:ascii="宋体" w:hAnsi="宋体" w:cs="宋体"/>
          <w:w w:val="80"/>
          <w:szCs w:val="44"/>
        </w:rPr>
        <w:t>磋商须知</w:t>
      </w:r>
      <w:bookmarkEnd w:id="22"/>
    </w:p>
    <w:p w14:paraId="55940DE0">
      <w:pPr>
        <w:snapToGrid w:val="0"/>
        <w:spacing w:line="360" w:lineRule="auto"/>
        <w:ind w:firstLine="482" w:firstLineChars="200"/>
        <w:outlineLvl w:val="1"/>
        <w:rPr>
          <w:rFonts w:hint="eastAsia" w:ascii="宋体" w:hAnsi="宋体" w:cs="宋体"/>
          <w:b/>
          <w:bCs/>
          <w:sz w:val="24"/>
          <w:szCs w:val="24"/>
        </w:rPr>
      </w:pPr>
      <w:bookmarkStart w:id="25" w:name="_Toc94544745"/>
      <w:bookmarkStart w:id="26" w:name="_Toc8895740"/>
      <w:bookmarkStart w:id="27" w:name="_Toc11499585"/>
      <w:bookmarkStart w:id="28" w:name="_Toc11500281"/>
      <w:bookmarkStart w:id="29" w:name="_Toc11554640"/>
      <w:bookmarkStart w:id="30" w:name="_Toc94585341"/>
      <w:bookmarkStart w:id="31" w:name="_Toc94544871"/>
      <w:bookmarkStart w:id="32" w:name="_Toc521203419"/>
      <w:bookmarkStart w:id="33" w:name="_Toc12670504"/>
      <w:bookmarkStart w:id="34" w:name="_Toc521201598"/>
      <w:r>
        <w:rPr>
          <w:rFonts w:hint="eastAsia" w:ascii="宋体" w:hAnsi="宋体" w:cs="宋体"/>
          <w:b/>
          <w:bCs/>
          <w:sz w:val="24"/>
          <w:szCs w:val="24"/>
        </w:rPr>
        <w:t>一、说明</w:t>
      </w:r>
    </w:p>
    <w:p w14:paraId="2BE5209E">
      <w:pPr>
        <w:snapToGrid w:val="0"/>
        <w:spacing w:line="360" w:lineRule="auto"/>
        <w:ind w:firstLine="480" w:firstLineChars="200"/>
        <w:rPr>
          <w:rFonts w:hint="eastAsia" w:ascii="宋体" w:hAnsi="宋体" w:cs="宋体"/>
          <w:bCs/>
          <w:sz w:val="24"/>
          <w:szCs w:val="24"/>
        </w:rPr>
      </w:pPr>
      <w:r>
        <w:rPr>
          <w:rFonts w:ascii="宋体" w:hAnsi="宋体" w:cs="宋体"/>
          <w:bCs/>
          <w:sz w:val="24"/>
          <w:szCs w:val="24"/>
        </w:rPr>
        <w:t>1</w:t>
      </w:r>
      <w:r>
        <w:rPr>
          <w:rFonts w:hint="eastAsia" w:ascii="宋体" w:hAnsi="宋体" w:cs="宋体"/>
          <w:bCs/>
          <w:sz w:val="24"/>
          <w:szCs w:val="24"/>
        </w:rPr>
        <w:t>、本竞争性磋商文件仅适用于采购人组织的竞争性磋商采购活动。</w:t>
      </w:r>
    </w:p>
    <w:p w14:paraId="102129DD">
      <w:pPr>
        <w:snapToGrid w:val="0"/>
        <w:spacing w:line="360" w:lineRule="auto"/>
        <w:ind w:firstLine="480" w:firstLineChars="200"/>
        <w:rPr>
          <w:rFonts w:hint="eastAsia" w:ascii="宋体" w:hAnsi="宋体" w:cs="宋体"/>
          <w:bCs/>
          <w:sz w:val="24"/>
          <w:szCs w:val="24"/>
        </w:rPr>
      </w:pPr>
      <w:r>
        <w:rPr>
          <w:rFonts w:ascii="宋体" w:hAnsi="宋体" w:cs="宋体"/>
          <w:bCs/>
          <w:sz w:val="24"/>
          <w:szCs w:val="24"/>
        </w:rPr>
        <w:t>2</w:t>
      </w:r>
      <w:r>
        <w:rPr>
          <w:rFonts w:hint="eastAsia" w:ascii="宋体" w:hAnsi="宋体" w:cs="宋体"/>
          <w:bCs/>
          <w:sz w:val="24"/>
          <w:szCs w:val="24"/>
        </w:rPr>
        <w:t>、竞争性磋商活动及因本次磋商产生的合同受中国法律制约和保护。</w:t>
      </w:r>
    </w:p>
    <w:p w14:paraId="634FBC4E">
      <w:pPr>
        <w:snapToGrid w:val="0"/>
        <w:spacing w:line="360" w:lineRule="auto"/>
        <w:ind w:firstLine="480" w:firstLineChars="200"/>
        <w:rPr>
          <w:rFonts w:hint="eastAsia" w:ascii="宋体" w:hAnsi="宋体" w:cs="宋体"/>
          <w:bCs/>
          <w:sz w:val="24"/>
          <w:szCs w:val="24"/>
        </w:rPr>
      </w:pPr>
      <w:r>
        <w:rPr>
          <w:rFonts w:ascii="宋体" w:hAnsi="宋体" w:cs="宋体"/>
          <w:bCs/>
          <w:sz w:val="24"/>
          <w:szCs w:val="24"/>
        </w:rPr>
        <w:t>3</w:t>
      </w:r>
      <w:r>
        <w:rPr>
          <w:rFonts w:hint="eastAsia" w:ascii="宋体" w:hAnsi="宋体" w:cs="宋体"/>
          <w:bCs/>
          <w:sz w:val="24"/>
          <w:szCs w:val="24"/>
        </w:rPr>
        <w:t>、竞争性磋商文件的解释权属于采购人。</w:t>
      </w:r>
    </w:p>
    <w:p w14:paraId="04F7DEF2">
      <w:pPr>
        <w:snapToGrid w:val="0"/>
        <w:spacing w:line="360" w:lineRule="auto"/>
        <w:ind w:firstLine="480" w:firstLineChars="200"/>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、供应商下载磋商文件后，应仔细检查磋商文件的所有内容。如内容中有页码短缺、资格要求以及任何设置有不合理的条件对供应商实行差别待遇或者歧视待遇的，应在磋商文件发布后的</w:t>
      </w:r>
      <w:r>
        <w:rPr>
          <w:rFonts w:ascii="宋体" w:hAnsi="宋体" w:cs="宋体"/>
          <w:sz w:val="24"/>
          <w:szCs w:val="24"/>
        </w:rPr>
        <w:t>3</w:t>
      </w:r>
      <w:r>
        <w:rPr>
          <w:rFonts w:hint="eastAsia" w:ascii="宋体" w:hAnsi="宋体" w:cs="宋体"/>
          <w:sz w:val="24"/>
          <w:szCs w:val="24"/>
        </w:rPr>
        <w:t>日内，以书面形式向代理机构提出询问或疑问，未在规定的时间内提出询问或疑问的，视同理解并接受本磋商文件的所有内容，因此引起的损失由供应商自负，而且供应商不得在磋商结束后针对磋商文件的所有内容提出质疑事项。</w:t>
      </w:r>
      <w:r>
        <w:rPr>
          <w:rFonts w:hint="eastAsia" w:ascii="宋体" w:hAnsi="宋体" w:cs="宋体"/>
          <w:b/>
          <w:sz w:val="24"/>
          <w:szCs w:val="24"/>
        </w:rPr>
        <w:t>非书面形式的不作为日后质疑提出的依据。</w:t>
      </w:r>
    </w:p>
    <w:p w14:paraId="34309EE4">
      <w:pPr>
        <w:snapToGrid w:val="0"/>
        <w:spacing w:line="360" w:lineRule="auto"/>
        <w:ind w:firstLine="480" w:firstLineChars="200"/>
        <w:rPr>
          <w:rFonts w:hint="eastAsia" w:ascii="宋体" w:hAnsi="宋体" w:cs="宋体"/>
          <w:sz w:val="24"/>
          <w:szCs w:val="24"/>
        </w:rPr>
      </w:pPr>
      <w:r>
        <w:rPr>
          <w:rFonts w:ascii="宋体" w:hAnsi="宋体" w:cs="宋体"/>
          <w:sz w:val="24"/>
          <w:szCs w:val="24"/>
        </w:rPr>
        <w:t>5</w:t>
      </w:r>
      <w:r>
        <w:rPr>
          <w:rFonts w:hint="eastAsia" w:ascii="宋体" w:hAnsi="宋体" w:cs="宋体"/>
          <w:sz w:val="24"/>
          <w:szCs w:val="24"/>
        </w:rPr>
        <w:t>、供应商应认真审阅磋商文件中所有的事项、格式、条款和规范要求等，如果供应商没有按照磋商文件要求提交响应文件，或者响应文件没有对磋商文件做出实质性响应，将被拒绝参与项目的磋商。</w:t>
      </w:r>
    </w:p>
    <w:p w14:paraId="484C546A">
      <w:pPr>
        <w:snapToGrid w:val="0"/>
        <w:spacing w:line="360" w:lineRule="auto"/>
        <w:ind w:firstLine="482" w:firstLineChars="200"/>
        <w:outlineLvl w:val="1"/>
        <w:rPr>
          <w:rFonts w:hint="eastAsia" w:ascii="宋体" w:hAnsi="宋体" w:cs="宋体"/>
          <w:b/>
          <w:sz w:val="24"/>
          <w:szCs w:val="24"/>
        </w:rPr>
      </w:pPr>
      <w:r>
        <w:rPr>
          <w:rFonts w:hint="eastAsia" w:ascii="宋体" w:hAnsi="宋体" w:cs="宋体"/>
          <w:b/>
          <w:bCs/>
          <w:sz w:val="24"/>
          <w:szCs w:val="24"/>
        </w:rPr>
        <w:t>二、</w:t>
      </w:r>
      <w:r>
        <w:rPr>
          <w:rFonts w:hint="eastAsia" w:ascii="宋体" w:hAnsi="宋体" w:cs="宋体"/>
          <w:b/>
          <w:sz w:val="24"/>
          <w:szCs w:val="24"/>
        </w:rPr>
        <w:t>磋商文件的澄清、修改、答疑</w:t>
      </w:r>
    </w:p>
    <w:p w14:paraId="334F3A34">
      <w:pPr>
        <w:snapToGrid w:val="0"/>
        <w:spacing w:line="360" w:lineRule="auto"/>
        <w:ind w:firstLine="480" w:firstLineChars="200"/>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、代理机构有权对发出的磋商文件进行必要的澄清、修改或补充。</w:t>
      </w:r>
    </w:p>
    <w:p w14:paraId="0178B29D">
      <w:pPr>
        <w:widowControl/>
        <w:shd w:val="clear" w:color="auto" w:fill="FFFFFF"/>
        <w:spacing w:line="360" w:lineRule="auto"/>
        <w:ind w:firstLine="480" w:firstLineChars="200"/>
        <w:jc w:val="left"/>
        <w:rPr>
          <w:rFonts w:hint="eastAsia" w:cs="Arial" w:asciiTheme="minorEastAsia" w:hAnsiTheme="minorEastAsia" w:eastAsiaTheme="minorEastAsia"/>
          <w:kern w:val="0"/>
          <w:sz w:val="24"/>
          <w:szCs w:val="24"/>
        </w:rPr>
      </w:pPr>
      <w:r>
        <w:rPr>
          <w:rFonts w:ascii="宋体" w:hAnsi="宋体" w:cs="宋体"/>
          <w:sz w:val="24"/>
          <w:szCs w:val="24"/>
        </w:rPr>
        <w:t>2</w:t>
      </w:r>
      <w:r>
        <w:rPr>
          <w:rFonts w:hint="eastAsia" w:ascii="宋体" w:hAnsi="宋体" w:cs="宋体"/>
          <w:sz w:val="24"/>
          <w:szCs w:val="24"/>
        </w:rPr>
        <w:t>、磋商文件的澄清、修改、补充等内容均以书面明确的形式发布，并以</w:t>
      </w:r>
      <w:r>
        <w:rPr>
          <w:rFonts w:hint="eastAsia" w:asciiTheme="minorEastAsia" w:hAnsiTheme="minorEastAsia" w:eastAsiaTheme="minorEastAsia"/>
          <w:sz w:val="24"/>
          <w:szCs w:val="24"/>
        </w:rPr>
        <w:t>南通市图书馆-资讯-通图公告栏、南通市文化广电和旅游局-政府采购栏</w:t>
      </w:r>
      <w:r>
        <w:rPr>
          <w:rFonts w:hint="eastAsia" w:ascii="宋体" w:hAnsi="宋体" w:cs="宋体"/>
          <w:sz w:val="24"/>
          <w:szCs w:val="24"/>
        </w:rPr>
        <w:t>发布的信息为准。</w:t>
      </w:r>
    </w:p>
    <w:p w14:paraId="0E68DCB9">
      <w:pPr>
        <w:snapToGrid w:val="0"/>
        <w:spacing w:line="360" w:lineRule="auto"/>
        <w:ind w:firstLine="480" w:firstLineChars="200"/>
        <w:rPr>
          <w:rFonts w:hint="eastAsia" w:ascii="宋体" w:hAnsi="宋体" w:cs="宋体"/>
          <w:sz w:val="24"/>
          <w:szCs w:val="24"/>
        </w:rPr>
      </w:pPr>
      <w:r>
        <w:rPr>
          <w:rFonts w:ascii="宋体" w:hAnsi="宋体" w:cs="宋体"/>
          <w:sz w:val="24"/>
          <w:szCs w:val="24"/>
        </w:rPr>
        <w:t>3</w:t>
      </w:r>
      <w:r>
        <w:rPr>
          <w:rFonts w:hint="eastAsia" w:ascii="宋体" w:hAnsi="宋体" w:cs="宋体"/>
          <w:sz w:val="24"/>
          <w:szCs w:val="24"/>
        </w:rPr>
        <w:t>、代理机构对磋商文件的澄清、修改将构成磋商文件的一部分，对响应磋商的供应商具有约束力。</w:t>
      </w:r>
    </w:p>
    <w:p w14:paraId="67E854B6">
      <w:pPr>
        <w:snapToGrid w:val="0"/>
        <w:spacing w:line="360" w:lineRule="auto"/>
        <w:ind w:firstLine="480" w:firstLineChars="200"/>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、澄清或者修改的内容可能影响到响应文件编制的，代理机构将在提交响应文件接收截止之日</w:t>
      </w:r>
      <w:r>
        <w:rPr>
          <w:rFonts w:ascii="宋体" w:hAnsi="宋体" w:cs="宋体"/>
          <w:sz w:val="24"/>
          <w:szCs w:val="24"/>
        </w:rPr>
        <w:t>5</w:t>
      </w:r>
      <w:r>
        <w:rPr>
          <w:rFonts w:hint="eastAsia" w:ascii="宋体" w:hAnsi="宋体" w:cs="宋体"/>
          <w:sz w:val="24"/>
          <w:szCs w:val="24"/>
        </w:rPr>
        <w:t>日前，发布澄清或者修改公告，不足</w:t>
      </w:r>
      <w:r>
        <w:rPr>
          <w:rFonts w:ascii="宋体" w:hAnsi="宋体" w:cs="宋体"/>
          <w:sz w:val="24"/>
          <w:szCs w:val="24"/>
        </w:rPr>
        <w:t>5</w:t>
      </w:r>
      <w:r>
        <w:rPr>
          <w:rFonts w:hint="eastAsia" w:ascii="宋体" w:hAnsi="宋体" w:cs="宋体"/>
          <w:sz w:val="24"/>
          <w:szCs w:val="24"/>
        </w:rPr>
        <w:t>日的，当顺延提交响应文件接收截止时间。</w:t>
      </w:r>
    </w:p>
    <w:p w14:paraId="5706B59A">
      <w:pPr>
        <w:snapToGrid w:val="0"/>
        <w:spacing w:line="360" w:lineRule="auto"/>
        <w:ind w:firstLine="480" w:firstLineChars="200"/>
        <w:rPr>
          <w:rFonts w:hint="eastAsia" w:ascii="宋体" w:hAnsi="宋体" w:cs="宋体"/>
          <w:sz w:val="24"/>
          <w:szCs w:val="24"/>
        </w:rPr>
      </w:pPr>
      <w:r>
        <w:rPr>
          <w:rFonts w:ascii="宋体" w:hAnsi="宋体" w:cs="宋体"/>
          <w:sz w:val="24"/>
          <w:szCs w:val="24"/>
        </w:rPr>
        <w:t>5</w:t>
      </w:r>
      <w:r>
        <w:rPr>
          <w:rFonts w:hint="eastAsia" w:ascii="宋体" w:hAnsi="宋体" w:cs="宋体"/>
          <w:sz w:val="24"/>
          <w:szCs w:val="24"/>
        </w:rPr>
        <w:t>、除非代理机构以书面的形式对磋商文件作出澄清、修改及补充，供应商对涉及磋商文件的任何推论、理解和结论所造成的结果，均由供应商自负。</w:t>
      </w:r>
    </w:p>
    <w:p w14:paraId="3771B142">
      <w:pPr>
        <w:snapToGrid w:val="0"/>
        <w:spacing w:line="360" w:lineRule="auto"/>
        <w:ind w:firstLine="480" w:firstLineChars="200"/>
        <w:rPr>
          <w:rFonts w:hint="eastAsia" w:ascii="宋体" w:hAnsi="宋体" w:cs="宋体"/>
          <w:sz w:val="24"/>
          <w:szCs w:val="24"/>
        </w:rPr>
      </w:pPr>
      <w:r>
        <w:rPr>
          <w:rFonts w:ascii="宋体" w:hAnsi="宋体" w:cs="宋体"/>
          <w:sz w:val="24"/>
          <w:szCs w:val="24"/>
        </w:rPr>
        <w:t>6</w:t>
      </w:r>
      <w:r>
        <w:rPr>
          <w:rFonts w:hint="eastAsia" w:ascii="宋体" w:hAnsi="宋体" w:cs="宋体"/>
          <w:sz w:val="24"/>
          <w:szCs w:val="24"/>
        </w:rPr>
        <w:t>、采购单位视情组织答疑会。如有产生答疑且对磋商文件内容有修改，代理机构将按照本须知有关规定，以补充通知（公告）的方式发出。</w:t>
      </w:r>
    </w:p>
    <w:p w14:paraId="1FAA026D">
      <w:pPr>
        <w:snapToGrid w:val="0"/>
        <w:spacing w:line="360" w:lineRule="auto"/>
        <w:ind w:firstLine="482" w:firstLineChars="200"/>
        <w:outlineLvl w:val="1"/>
        <w:rPr>
          <w:rFonts w:hint="eastAsia" w:ascii="宋体" w:hAnsi="宋体" w:cs="宋体"/>
          <w:b/>
          <w:sz w:val="24"/>
          <w:szCs w:val="24"/>
        </w:rPr>
      </w:pPr>
      <w:r>
        <w:rPr>
          <w:rFonts w:hint="eastAsia" w:ascii="宋体" w:hAnsi="宋体" w:cs="宋体"/>
          <w:b/>
          <w:sz w:val="24"/>
          <w:szCs w:val="24"/>
        </w:rPr>
        <w:t>三、响应文件的编制及装订</w:t>
      </w:r>
    </w:p>
    <w:p w14:paraId="582BD415">
      <w:pPr>
        <w:spacing w:line="480" w:lineRule="exact"/>
        <w:ind w:firstLine="484" w:firstLineChars="202"/>
        <w:rPr>
          <w:rFonts w:hint="eastAsia" w:ascii="宋体" w:hAnsi="宋体" w:cs="宋体"/>
          <w:sz w:val="24"/>
          <w:szCs w:val="24"/>
        </w:rPr>
      </w:pPr>
      <w:r>
        <w:rPr>
          <w:rFonts w:hint="eastAsia" w:ascii="宋体" w:hAnsi="宋体" w:cs="宋体"/>
          <w:sz w:val="24"/>
          <w:szCs w:val="24"/>
        </w:rPr>
        <w:t>1、供应商按磋商文件要求编写响应文件，并牢固装订成册。响应文件均需采用</w:t>
      </w:r>
      <w:r>
        <w:rPr>
          <w:rFonts w:ascii="宋体" w:hAnsi="宋体" w:cs="宋体"/>
          <w:sz w:val="24"/>
          <w:szCs w:val="24"/>
        </w:rPr>
        <w:t>A4</w:t>
      </w:r>
      <w:r>
        <w:rPr>
          <w:rFonts w:hint="eastAsia" w:ascii="宋体" w:hAnsi="宋体" w:cs="宋体"/>
          <w:sz w:val="24"/>
          <w:szCs w:val="24"/>
        </w:rPr>
        <w:t>纸（图纸等除外），响应文件不得行间插字、涂改、增删，如修改错漏处，须经签署响应文件的投标人法定代表人或其委托的代理人（以下称被授权人）签字（或盖章）并加盖公章。</w:t>
      </w:r>
    </w:p>
    <w:p w14:paraId="24740438">
      <w:pPr>
        <w:spacing w:line="480" w:lineRule="exact"/>
        <w:ind w:firstLine="484" w:firstLineChars="202"/>
        <w:rPr>
          <w:rFonts w:hint="eastAsia" w:ascii="宋体" w:hAnsi="宋体" w:cs="宋体"/>
          <w:sz w:val="24"/>
          <w:szCs w:val="24"/>
        </w:rPr>
      </w:pPr>
      <w:r>
        <w:rPr>
          <w:rFonts w:hint="eastAsia" w:ascii="宋体" w:hAnsi="宋体" w:cs="宋体"/>
          <w:sz w:val="24"/>
          <w:szCs w:val="24"/>
        </w:rPr>
        <w:t>2、投标有效期为采购人规定的响应文件提交截止时间后</w:t>
      </w:r>
      <w:r>
        <w:rPr>
          <w:rFonts w:hint="eastAsia" w:ascii="宋体" w:hAnsi="宋体" w:cs="宋体"/>
          <w:sz w:val="24"/>
          <w:szCs w:val="24"/>
          <w:u w:val="single"/>
        </w:rPr>
        <w:t>六十（60）天</w:t>
      </w:r>
      <w:r>
        <w:rPr>
          <w:rFonts w:hint="eastAsia" w:ascii="宋体" w:hAnsi="宋体" w:cs="宋体"/>
          <w:sz w:val="24"/>
          <w:szCs w:val="24"/>
        </w:rPr>
        <w:t>。投标有效期比规定短的将被视为非实质性投标而予以拒绝。</w:t>
      </w:r>
    </w:p>
    <w:p w14:paraId="11D2A2FA">
      <w:pPr>
        <w:spacing w:line="480" w:lineRule="exact"/>
        <w:ind w:firstLine="487" w:firstLineChars="202"/>
        <w:rPr>
          <w:rFonts w:hint="eastAsia" w:ascii="宋体" w:hAnsi="宋体" w:cs="宋体"/>
          <w:b/>
          <w:bCs/>
          <w:sz w:val="24"/>
          <w:szCs w:val="24"/>
        </w:rPr>
      </w:pPr>
      <w:r>
        <w:rPr>
          <w:rFonts w:hint="eastAsia" w:ascii="宋体" w:hAnsi="宋体" w:cs="宋体"/>
          <w:b/>
          <w:bCs/>
          <w:sz w:val="24"/>
          <w:szCs w:val="24"/>
        </w:rPr>
        <w:t>四、响应文件的份数和签署</w:t>
      </w:r>
    </w:p>
    <w:p w14:paraId="58C300FF">
      <w:pPr>
        <w:snapToGrid w:val="0"/>
        <w:spacing w:line="360" w:lineRule="auto"/>
        <w:ind w:firstLine="480" w:firstLineChars="200"/>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、响应文件由：</w:t>
      </w:r>
      <w:r>
        <w:rPr>
          <w:rFonts w:ascii="宋体" w:hAnsi="宋体" w:cs="宋体"/>
          <w:sz w:val="24"/>
          <w:szCs w:val="24"/>
        </w:rPr>
        <w:fldChar w:fldCharType="begin"/>
      </w:r>
      <w:r>
        <w:rPr>
          <w:rFonts w:ascii="宋体" w:hAnsi="宋体" w:cs="宋体"/>
          <w:sz w:val="24"/>
          <w:szCs w:val="24"/>
        </w:rPr>
        <w:instrText xml:space="preserve"> = 1 \* GB3 </w:instrText>
      </w:r>
      <w:r>
        <w:rPr>
          <w:rFonts w:ascii="宋体" w:hAnsi="宋体" w:cs="宋体"/>
          <w:sz w:val="24"/>
          <w:szCs w:val="24"/>
        </w:rPr>
        <w:fldChar w:fldCharType="separate"/>
      </w:r>
      <w:r>
        <w:rPr>
          <w:rFonts w:hint="eastAsia" w:ascii="宋体" w:hAnsi="宋体" w:cs="宋体"/>
          <w:sz w:val="24"/>
          <w:szCs w:val="24"/>
        </w:rPr>
        <w:t>①</w:t>
      </w:r>
      <w:r>
        <w:rPr>
          <w:rFonts w:ascii="宋体" w:hAnsi="宋体" w:cs="宋体"/>
          <w:sz w:val="24"/>
          <w:szCs w:val="24"/>
        </w:rPr>
        <w:fldChar w:fldCharType="end"/>
      </w:r>
      <w:r>
        <w:rPr>
          <w:rFonts w:hint="eastAsia" w:ascii="宋体" w:hAnsi="宋体" w:cs="宋体"/>
          <w:sz w:val="24"/>
          <w:szCs w:val="24"/>
        </w:rPr>
        <w:t>资格审查文件、</w:t>
      </w:r>
      <w:r>
        <w:rPr>
          <w:rFonts w:ascii="宋体" w:hAnsi="宋体" w:cs="宋体"/>
          <w:sz w:val="24"/>
          <w:szCs w:val="24"/>
        </w:rPr>
        <w:fldChar w:fldCharType="begin"/>
      </w:r>
      <w:r>
        <w:rPr>
          <w:rFonts w:ascii="宋体" w:hAnsi="宋体" w:cs="宋体"/>
          <w:sz w:val="24"/>
          <w:szCs w:val="24"/>
        </w:rPr>
        <w:instrText xml:space="preserve"> = 2 \* GB3 </w:instrText>
      </w:r>
      <w:r>
        <w:rPr>
          <w:rFonts w:ascii="宋体" w:hAnsi="宋体" w:cs="宋体"/>
          <w:sz w:val="24"/>
          <w:szCs w:val="24"/>
        </w:rPr>
        <w:fldChar w:fldCharType="separate"/>
      </w:r>
      <w:r>
        <w:rPr>
          <w:rFonts w:hint="eastAsia" w:ascii="宋体" w:hAnsi="宋体" w:cs="宋体"/>
          <w:sz w:val="24"/>
          <w:szCs w:val="24"/>
        </w:rPr>
        <w:t>②</w:t>
      </w:r>
      <w:r>
        <w:rPr>
          <w:rFonts w:ascii="宋体" w:hAnsi="宋体" w:cs="宋体"/>
          <w:sz w:val="24"/>
          <w:szCs w:val="24"/>
        </w:rPr>
        <w:fldChar w:fldCharType="end"/>
      </w:r>
      <w:r>
        <w:rPr>
          <w:rFonts w:hint="eastAsia" w:ascii="宋体" w:hAnsi="宋体" w:cs="宋体"/>
          <w:sz w:val="24"/>
          <w:szCs w:val="24"/>
        </w:rPr>
        <w:t>商务技术响应文件、</w:t>
      </w:r>
      <w:r>
        <w:rPr>
          <w:rFonts w:ascii="宋体" w:hAnsi="宋体" w:cs="宋体"/>
          <w:sz w:val="24"/>
          <w:szCs w:val="24"/>
        </w:rPr>
        <w:fldChar w:fldCharType="begin"/>
      </w:r>
      <w:r>
        <w:rPr>
          <w:rFonts w:ascii="宋体" w:hAnsi="宋体" w:cs="宋体"/>
          <w:sz w:val="24"/>
          <w:szCs w:val="24"/>
        </w:rPr>
        <w:instrText xml:space="preserve"> = 3 \* GB3 </w:instrText>
      </w:r>
      <w:r>
        <w:rPr>
          <w:rFonts w:ascii="宋体" w:hAnsi="宋体" w:cs="宋体"/>
          <w:sz w:val="24"/>
          <w:szCs w:val="24"/>
        </w:rPr>
        <w:fldChar w:fldCharType="separate"/>
      </w:r>
      <w:r>
        <w:rPr>
          <w:rFonts w:hint="eastAsia" w:ascii="宋体" w:hAnsi="宋体" w:cs="宋体"/>
          <w:sz w:val="24"/>
          <w:szCs w:val="24"/>
        </w:rPr>
        <w:t>③</w:t>
      </w:r>
      <w:r>
        <w:rPr>
          <w:rFonts w:ascii="宋体" w:hAnsi="宋体" w:cs="宋体"/>
          <w:sz w:val="24"/>
          <w:szCs w:val="24"/>
        </w:rPr>
        <w:fldChar w:fldCharType="end"/>
      </w:r>
      <w:r>
        <w:rPr>
          <w:rFonts w:hint="eastAsia" w:ascii="宋体" w:hAnsi="宋体" w:cs="宋体"/>
          <w:sz w:val="24"/>
          <w:szCs w:val="24"/>
        </w:rPr>
        <w:t>报价响应文件，共</w:t>
      </w:r>
      <w:r>
        <w:rPr>
          <w:rFonts w:ascii="宋体" w:hAnsi="宋体" w:cs="宋体"/>
          <w:sz w:val="24"/>
          <w:szCs w:val="24"/>
        </w:rPr>
        <w:t>3</w:t>
      </w:r>
      <w:r>
        <w:rPr>
          <w:rFonts w:hint="eastAsia" w:ascii="宋体" w:hAnsi="宋体" w:cs="宋体"/>
          <w:sz w:val="24"/>
          <w:szCs w:val="24"/>
        </w:rPr>
        <w:t>部分组成（以下由文件序号代称）。</w:t>
      </w:r>
    </w:p>
    <w:p w14:paraId="4C0A2EF9">
      <w:pPr>
        <w:snapToGrid w:val="0"/>
        <w:spacing w:line="360" w:lineRule="auto"/>
        <w:ind w:firstLine="480" w:firstLineChars="200"/>
        <w:rPr>
          <w:rFonts w:hint="eastAsia" w:ascii="宋体" w:hAnsi="宋体" w:cs="宋体"/>
          <w:b/>
          <w:sz w:val="24"/>
          <w:szCs w:val="24"/>
          <w:u w:val="single"/>
        </w:rPr>
      </w:pPr>
      <w:r>
        <w:rPr>
          <w:rFonts w:ascii="宋体" w:hAnsi="宋体" w:cs="宋体"/>
          <w:sz w:val="24"/>
          <w:szCs w:val="24"/>
        </w:rPr>
        <w:t>2</w:t>
      </w:r>
      <w:r>
        <w:rPr>
          <w:rFonts w:hint="eastAsia" w:ascii="宋体" w:hAnsi="宋体" w:cs="宋体"/>
          <w:sz w:val="24"/>
          <w:szCs w:val="24"/>
        </w:rPr>
        <w:t>、响应文件均为</w:t>
      </w:r>
      <w:r>
        <w:rPr>
          <w:rFonts w:hint="eastAsia" w:ascii="宋体" w:hAnsi="宋体" w:cs="宋体"/>
          <w:b/>
          <w:sz w:val="24"/>
          <w:szCs w:val="24"/>
        </w:rPr>
        <w:t>一式叁份，其中“正本”壹份和“副本”贰份。</w:t>
      </w:r>
    </w:p>
    <w:p w14:paraId="3DB8D55B">
      <w:pPr>
        <w:snapToGrid w:val="0"/>
        <w:spacing w:line="360" w:lineRule="auto"/>
        <w:ind w:firstLine="470" w:firstLineChars="196"/>
        <w:rPr>
          <w:rFonts w:hint="eastAsia" w:ascii="宋体" w:hAnsi="宋体" w:cs="宋体"/>
          <w:sz w:val="24"/>
          <w:szCs w:val="24"/>
        </w:rPr>
      </w:pPr>
      <w:r>
        <w:rPr>
          <w:rFonts w:ascii="宋体" w:hAnsi="宋体" w:cs="宋体"/>
          <w:sz w:val="24"/>
          <w:szCs w:val="24"/>
        </w:rPr>
        <w:t>3</w:t>
      </w:r>
      <w:r>
        <w:rPr>
          <w:rFonts w:hint="eastAsia" w:ascii="宋体" w:hAnsi="宋体" w:cs="宋体"/>
          <w:sz w:val="24"/>
          <w:szCs w:val="24"/>
        </w:rPr>
        <w:t>、在每份响应文件上要明确标注项目名称、对应的响应文件名称、供应商的全称、日期、“正本”、“副本”字样。“正本”和“副本”若有差异，概以“正本”为准。</w:t>
      </w:r>
    </w:p>
    <w:p w14:paraId="76DDE829">
      <w:pPr>
        <w:snapToGrid w:val="0"/>
        <w:spacing w:line="360" w:lineRule="auto"/>
        <w:ind w:firstLine="470" w:firstLineChars="196"/>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、供应商可将响应文件正副本统一密封或分别密封，如正本和副本分别密封的，应在封袋上标明正、副本字样。</w:t>
      </w:r>
    </w:p>
    <w:p w14:paraId="3A206082">
      <w:pPr>
        <w:snapToGrid w:val="0"/>
        <w:spacing w:line="360" w:lineRule="auto"/>
        <w:ind w:firstLine="470" w:firstLineChars="196"/>
        <w:rPr>
          <w:rFonts w:hint="eastAsia" w:ascii="宋体" w:hAnsi="宋体" w:cs="宋体"/>
          <w:sz w:val="24"/>
          <w:szCs w:val="24"/>
        </w:rPr>
      </w:pPr>
      <w:r>
        <w:rPr>
          <w:rFonts w:ascii="宋体" w:hAnsi="宋体" w:cs="宋体"/>
          <w:sz w:val="24"/>
          <w:szCs w:val="24"/>
        </w:rPr>
        <w:t>5</w:t>
      </w:r>
      <w:r>
        <w:rPr>
          <w:rFonts w:hint="eastAsia" w:ascii="宋体" w:hAnsi="宋体" w:cs="宋体"/>
          <w:sz w:val="24"/>
          <w:szCs w:val="24"/>
        </w:rPr>
        <w:t>、响应文件中的所有“正本”，其正文内容须按磋商文件要求由供应商法定代表人或被授权人签字（或盖章）并加盖单位公章。“副本”可复印，但须加盖单位公章。</w:t>
      </w:r>
    </w:p>
    <w:p w14:paraId="07233F8F">
      <w:pPr>
        <w:snapToGrid w:val="0"/>
        <w:spacing w:line="360" w:lineRule="auto"/>
        <w:ind w:firstLine="472" w:firstLineChars="196"/>
        <w:rPr>
          <w:rFonts w:hint="eastAsia" w:ascii="宋体" w:hAnsi="宋体" w:cs="宋体"/>
          <w:b/>
          <w:bCs/>
          <w:sz w:val="24"/>
          <w:szCs w:val="24"/>
        </w:rPr>
      </w:pPr>
      <w:r>
        <w:rPr>
          <w:rFonts w:hint="eastAsia" w:ascii="宋体" w:hAnsi="宋体" w:cs="宋体"/>
          <w:b/>
          <w:bCs/>
          <w:sz w:val="24"/>
          <w:szCs w:val="24"/>
        </w:rPr>
        <w:t>五、响应文件的密封及标记</w:t>
      </w:r>
    </w:p>
    <w:p w14:paraId="6E4A0CBD">
      <w:pPr>
        <w:snapToGrid w:val="0"/>
        <w:spacing w:line="360" w:lineRule="auto"/>
        <w:ind w:firstLine="480" w:firstLineChars="200"/>
        <w:rPr>
          <w:rFonts w:hint="eastAsia" w:ascii="宋体" w:hAnsi="宋体" w:cs="宋体"/>
          <w:sz w:val="24"/>
          <w:szCs w:val="24"/>
          <w:u w:val="single"/>
        </w:rPr>
      </w:pPr>
      <w:r>
        <w:rPr>
          <w:rFonts w:ascii="宋体" w:hAnsi="宋体" w:cs="宋体"/>
          <w:sz w:val="24"/>
          <w:szCs w:val="24"/>
        </w:rPr>
        <w:t>1</w:t>
      </w:r>
      <w:r>
        <w:rPr>
          <w:rFonts w:hint="eastAsia" w:ascii="宋体" w:hAnsi="宋体" w:cs="宋体"/>
          <w:sz w:val="24"/>
          <w:szCs w:val="24"/>
        </w:rPr>
        <w:t>、供应商须将本项目响应文件：</w:t>
      </w:r>
      <w:r>
        <w:rPr>
          <w:rFonts w:ascii="宋体" w:hAnsi="宋体" w:cs="宋体"/>
          <w:sz w:val="24"/>
          <w:szCs w:val="24"/>
        </w:rPr>
        <w:fldChar w:fldCharType="begin"/>
      </w:r>
      <w:r>
        <w:rPr>
          <w:rFonts w:ascii="宋体" w:hAnsi="宋体" w:cs="宋体"/>
          <w:sz w:val="24"/>
          <w:szCs w:val="24"/>
        </w:rPr>
        <w:instrText xml:space="preserve"> = 1 \* GB3 </w:instrText>
      </w:r>
      <w:r>
        <w:rPr>
          <w:rFonts w:ascii="宋体" w:hAnsi="宋体" w:cs="宋体"/>
          <w:sz w:val="24"/>
          <w:szCs w:val="24"/>
        </w:rPr>
        <w:fldChar w:fldCharType="separate"/>
      </w:r>
      <w:r>
        <w:rPr>
          <w:rFonts w:hint="eastAsia" w:ascii="宋体" w:hAnsi="宋体" w:cs="宋体"/>
          <w:sz w:val="24"/>
          <w:szCs w:val="24"/>
        </w:rPr>
        <w:t>①</w:t>
      </w:r>
      <w:r>
        <w:rPr>
          <w:rFonts w:ascii="宋体" w:hAnsi="宋体" w:cs="宋体"/>
          <w:sz w:val="24"/>
          <w:szCs w:val="24"/>
        </w:rPr>
        <w:fldChar w:fldCharType="end"/>
      </w:r>
      <w:r>
        <w:rPr>
          <w:rFonts w:hint="eastAsia" w:ascii="宋体" w:hAnsi="宋体" w:cs="宋体"/>
          <w:sz w:val="24"/>
          <w:szCs w:val="24"/>
        </w:rPr>
        <w:t>、</w:t>
      </w:r>
      <w:r>
        <w:rPr>
          <w:rFonts w:ascii="宋体" w:hAnsi="宋体" w:cs="宋体"/>
          <w:sz w:val="24"/>
          <w:szCs w:val="24"/>
        </w:rPr>
        <w:fldChar w:fldCharType="begin"/>
      </w:r>
      <w:r>
        <w:rPr>
          <w:rFonts w:ascii="宋体" w:hAnsi="宋体" w:cs="宋体"/>
          <w:sz w:val="24"/>
          <w:szCs w:val="24"/>
        </w:rPr>
        <w:instrText xml:space="preserve"> = 2 \* GB3 </w:instrText>
      </w:r>
      <w:r>
        <w:rPr>
          <w:rFonts w:ascii="宋体" w:hAnsi="宋体" w:cs="宋体"/>
          <w:sz w:val="24"/>
          <w:szCs w:val="24"/>
        </w:rPr>
        <w:fldChar w:fldCharType="separate"/>
      </w:r>
      <w:r>
        <w:rPr>
          <w:rFonts w:hint="eastAsia" w:ascii="宋体" w:hAnsi="宋体" w:cs="宋体"/>
          <w:sz w:val="24"/>
          <w:szCs w:val="24"/>
        </w:rPr>
        <w:t>②</w:t>
      </w:r>
      <w:r>
        <w:rPr>
          <w:rFonts w:ascii="宋体" w:hAnsi="宋体" w:cs="宋体"/>
          <w:sz w:val="24"/>
          <w:szCs w:val="24"/>
        </w:rPr>
        <w:fldChar w:fldCharType="end"/>
      </w:r>
      <w:r>
        <w:rPr>
          <w:rFonts w:hint="eastAsia" w:ascii="宋体" w:hAnsi="宋体" w:cs="宋体"/>
          <w:sz w:val="24"/>
          <w:szCs w:val="24"/>
        </w:rPr>
        <w:t>、③</w:t>
      </w:r>
      <w:r>
        <w:rPr>
          <w:rFonts w:hint="eastAsia" w:ascii="宋体" w:hAnsi="宋体" w:cs="宋体"/>
          <w:b/>
          <w:sz w:val="24"/>
          <w:szCs w:val="24"/>
        </w:rPr>
        <w:t>单独密封</w:t>
      </w:r>
      <w:r>
        <w:rPr>
          <w:rFonts w:hint="eastAsia" w:ascii="宋体" w:hAnsi="宋体" w:cs="宋体"/>
          <w:sz w:val="24"/>
          <w:szCs w:val="24"/>
        </w:rPr>
        <w:t>。</w:t>
      </w:r>
    </w:p>
    <w:p w14:paraId="29D7ACEA">
      <w:pPr>
        <w:snapToGrid w:val="0"/>
        <w:spacing w:line="360" w:lineRule="auto"/>
        <w:ind w:firstLine="480" w:firstLineChars="200"/>
        <w:rPr>
          <w:rFonts w:hint="eastAsia" w:ascii="宋体" w:hAnsi="宋体" w:cs="宋体"/>
          <w:sz w:val="24"/>
          <w:szCs w:val="24"/>
        </w:rPr>
      </w:pPr>
      <w:r>
        <w:rPr>
          <w:rFonts w:ascii="宋体" w:hAnsi="宋体" w:cs="宋体"/>
          <w:sz w:val="24"/>
          <w:szCs w:val="24"/>
        </w:rPr>
        <w:t>2</w:t>
      </w:r>
      <w:r>
        <w:rPr>
          <w:rFonts w:hint="eastAsia" w:ascii="宋体" w:hAnsi="宋体" w:cs="宋体"/>
          <w:sz w:val="24"/>
          <w:szCs w:val="24"/>
        </w:rPr>
        <w:t>、密封后，应在每一密封的响应文件上明确标注磋商项目名称、响应文件各自对应的名称、供应商的全称及日期。</w:t>
      </w:r>
    </w:p>
    <w:p w14:paraId="52116965">
      <w:pPr>
        <w:snapToGrid w:val="0"/>
        <w:spacing w:line="360" w:lineRule="auto"/>
        <w:ind w:firstLine="480" w:firstLineChars="200"/>
        <w:rPr>
          <w:rFonts w:hint="eastAsia" w:ascii="宋体" w:hAnsi="宋体" w:cs="宋体"/>
          <w:sz w:val="24"/>
          <w:szCs w:val="24"/>
        </w:rPr>
      </w:pPr>
      <w:r>
        <w:rPr>
          <w:rFonts w:ascii="宋体" w:hAnsi="宋体" w:cs="宋体"/>
          <w:sz w:val="24"/>
          <w:szCs w:val="24"/>
        </w:rPr>
        <w:t>3</w:t>
      </w:r>
      <w:r>
        <w:rPr>
          <w:rFonts w:hint="eastAsia" w:ascii="宋体" w:hAnsi="宋体" w:cs="宋体"/>
          <w:sz w:val="24"/>
          <w:szCs w:val="24"/>
        </w:rPr>
        <w:t>、在边缝处加盖供应商公章或骑缝签字。</w:t>
      </w:r>
    </w:p>
    <w:p w14:paraId="0105201C">
      <w:pPr>
        <w:snapToGrid w:val="0"/>
        <w:spacing w:line="360" w:lineRule="auto"/>
        <w:ind w:firstLine="482" w:firstLineChars="200"/>
        <w:rPr>
          <w:rFonts w:hint="eastAsia" w:ascii="宋体" w:hAnsi="宋体" w:cs="宋体"/>
          <w:sz w:val="24"/>
          <w:szCs w:val="24"/>
        </w:rPr>
      </w:pPr>
      <w:r>
        <w:rPr>
          <w:rFonts w:hint="eastAsia" w:ascii="宋体" w:hAnsi="宋体" w:cs="宋体"/>
          <w:b/>
          <w:sz w:val="24"/>
          <w:szCs w:val="24"/>
        </w:rPr>
        <w:t>【特别提醒】</w:t>
      </w:r>
      <w:r>
        <w:rPr>
          <w:rFonts w:hint="eastAsia" w:ascii="宋体" w:hAnsi="宋体" w:cs="宋体"/>
          <w:sz w:val="24"/>
          <w:szCs w:val="24"/>
        </w:rPr>
        <w:t>响应文件中的</w:t>
      </w:r>
      <w:r>
        <w:rPr>
          <w:rFonts w:ascii="宋体" w:hAnsi="宋体" w:cs="宋体"/>
          <w:sz w:val="24"/>
          <w:szCs w:val="24"/>
        </w:rPr>
        <w:fldChar w:fldCharType="begin"/>
      </w:r>
      <w:r>
        <w:rPr>
          <w:rFonts w:ascii="宋体" w:hAnsi="宋体" w:cs="宋体"/>
          <w:sz w:val="24"/>
          <w:szCs w:val="24"/>
        </w:rPr>
        <w:instrText xml:space="preserve"> = 1 \* GB3 </w:instrText>
      </w:r>
      <w:r>
        <w:rPr>
          <w:rFonts w:ascii="宋体" w:hAnsi="宋体" w:cs="宋体"/>
          <w:sz w:val="24"/>
          <w:szCs w:val="24"/>
        </w:rPr>
        <w:fldChar w:fldCharType="separate"/>
      </w:r>
      <w:r>
        <w:rPr>
          <w:rFonts w:hint="eastAsia" w:ascii="宋体" w:hAnsi="宋体" w:cs="宋体"/>
          <w:sz w:val="24"/>
          <w:szCs w:val="24"/>
        </w:rPr>
        <w:t>①</w:t>
      </w:r>
      <w:r>
        <w:rPr>
          <w:rFonts w:ascii="宋体" w:hAnsi="宋体" w:cs="宋体"/>
          <w:sz w:val="24"/>
          <w:szCs w:val="24"/>
        </w:rPr>
        <w:fldChar w:fldCharType="end"/>
      </w:r>
      <w:r>
        <w:rPr>
          <w:rFonts w:hint="eastAsia" w:ascii="宋体" w:hAnsi="宋体" w:cs="宋体"/>
          <w:sz w:val="24"/>
          <w:szCs w:val="24"/>
        </w:rPr>
        <w:t>和</w:t>
      </w:r>
      <w:r>
        <w:rPr>
          <w:rFonts w:ascii="宋体" w:hAnsi="宋体" w:cs="宋体"/>
          <w:sz w:val="24"/>
          <w:szCs w:val="24"/>
        </w:rPr>
        <w:fldChar w:fldCharType="begin"/>
      </w:r>
      <w:r>
        <w:rPr>
          <w:rFonts w:ascii="宋体" w:hAnsi="宋体" w:cs="宋体"/>
          <w:sz w:val="24"/>
          <w:szCs w:val="24"/>
        </w:rPr>
        <w:instrText xml:space="preserve"> = 2 \* GB3 </w:instrText>
      </w:r>
      <w:r>
        <w:rPr>
          <w:rFonts w:ascii="宋体" w:hAnsi="宋体" w:cs="宋体"/>
          <w:sz w:val="24"/>
          <w:szCs w:val="24"/>
        </w:rPr>
        <w:fldChar w:fldCharType="separate"/>
      </w:r>
      <w:r>
        <w:rPr>
          <w:rFonts w:hint="eastAsia" w:ascii="宋体" w:hAnsi="宋体" w:cs="宋体"/>
          <w:sz w:val="24"/>
          <w:szCs w:val="24"/>
        </w:rPr>
        <w:t>②</w:t>
      </w:r>
      <w:r>
        <w:rPr>
          <w:rFonts w:ascii="宋体" w:hAnsi="宋体" w:cs="宋体"/>
          <w:sz w:val="24"/>
          <w:szCs w:val="24"/>
        </w:rPr>
        <w:fldChar w:fldCharType="end"/>
      </w:r>
      <w:r>
        <w:rPr>
          <w:rFonts w:hint="eastAsia" w:ascii="宋体" w:hAnsi="宋体" w:cs="宋体"/>
          <w:sz w:val="24"/>
          <w:szCs w:val="24"/>
        </w:rPr>
        <w:t>的“正本”或“副本”中，均不得含有</w:t>
      </w:r>
      <w:r>
        <w:rPr>
          <w:rFonts w:ascii="宋体" w:hAnsi="宋体" w:cs="宋体"/>
          <w:sz w:val="24"/>
          <w:szCs w:val="24"/>
        </w:rPr>
        <w:fldChar w:fldCharType="begin"/>
      </w:r>
      <w:r>
        <w:rPr>
          <w:rFonts w:ascii="宋体" w:hAnsi="宋体" w:cs="宋体"/>
          <w:sz w:val="24"/>
          <w:szCs w:val="24"/>
        </w:rPr>
        <w:instrText xml:space="preserve"> = 3 \* GB3 </w:instrText>
      </w:r>
      <w:r>
        <w:rPr>
          <w:rFonts w:ascii="宋体" w:hAnsi="宋体" w:cs="宋体"/>
          <w:sz w:val="24"/>
          <w:szCs w:val="24"/>
        </w:rPr>
        <w:fldChar w:fldCharType="separate"/>
      </w:r>
      <w:r>
        <w:rPr>
          <w:rFonts w:hint="eastAsia" w:ascii="宋体" w:hAnsi="宋体" w:cs="宋体"/>
          <w:sz w:val="24"/>
          <w:szCs w:val="24"/>
        </w:rPr>
        <w:t>③</w:t>
      </w:r>
      <w:r>
        <w:rPr>
          <w:rFonts w:ascii="宋体" w:hAnsi="宋体" w:cs="宋体"/>
          <w:sz w:val="24"/>
          <w:szCs w:val="24"/>
        </w:rPr>
        <w:fldChar w:fldCharType="end"/>
      </w:r>
      <w:r>
        <w:rPr>
          <w:rFonts w:hint="eastAsia" w:ascii="宋体" w:hAnsi="宋体" w:cs="宋体"/>
          <w:sz w:val="24"/>
          <w:szCs w:val="24"/>
        </w:rPr>
        <w:t>报价响应文件中报价表（报价单）内的任何项目价格，否则作无效投标处理。</w:t>
      </w:r>
    </w:p>
    <w:p w14:paraId="3CAD9289">
      <w:pPr>
        <w:snapToGrid w:val="0"/>
        <w:spacing w:line="360" w:lineRule="auto"/>
        <w:ind w:firstLine="496" w:firstLineChars="206"/>
        <w:outlineLvl w:val="1"/>
        <w:rPr>
          <w:rFonts w:hint="eastAsia" w:ascii="宋体" w:hAnsi="宋体" w:cs="宋体"/>
          <w:b/>
          <w:bCs/>
          <w:sz w:val="24"/>
          <w:szCs w:val="24"/>
        </w:rPr>
      </w:pPr>
      <w:r>
        <w:rPr>
          <w:rFonts w:hint="eastAsia" w:ascii="宋体" w:hAnsi="宋体" w:cs="宋体"/>
          <w:b/>
          <w:bCs/>
          <w:sz w:val="24"/>
          <w:szCs w:val="24"/>
        </w:rPr>
        <w:t>六、投标报价</w:t>
      </w:r>
    </w:p>
    <w:p w14:paraId="69DB6CBB">
      <w:pPr>
        <w:snapToGrid w:val="0"/>
        <w:spacing w:line="360" w:lineRule="auto"/>
        <w:ind w:firstLine="494" w:firstLineChars="206"/>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、本项目不接受任何有选择的报价。</w:t>
      </w:r>
    </w:p>
    <w:p w14:paraId="21E73ADF">
      <w:pPr>
        <w:snapToGrid w:val="0"/>
        <w:spacing w:line="360" w:lineRule="auto"/>
        <w:ind w:firstLine="494" w:firstLineChars="206"/>
        <w:rPr>
          <w:rFonts w:hint="eastAsia" w:ascii="宋体" w:hAnsi="宋体" w:cs="宋体"/>
          <w:sz w:val="24"/>
          <w:szCs w:val="24"/>
        </w:rPr>
      </w:pPr>
      <w:r>
        <w:rPr>
          <w:rFonts w:ascii="宋体" w:hAnsi="宋体" w:cs="宋体"/>
          <w:sz w:val="24"/>
          <w:szCs w:val="24"/>
        </w:rPr>
        <w:t>2</w:t>
      </w:r>
      <w:r>
        <w:rPr>
          <w:rFonts w:hint="eastAsia" w:ascii="宋体" w:hAnsi="宋体" w:cs="宋体"/>
          <w:sz w:val="24"/>
          <w:szCs w:val="24"/>
        </w:rPr>
        <w:t>、磋商报价均以人民币为报价的币种。</w:t>
      </w:r>
    </w:p>
    <w:p w14:paraId="3ECA36EF">
      <w:pPr>
        <w:snapToGrid w:val="0"/>
        <w:spacing w:line="360" w:lineRule="auto"/>
        <w:ind w:firstLine="494" w:firstLineChars="206"/>
        <w:rPr>
          <w:rFonts w:hint="eastAsia" w:ascii="宋体" w:hAnsi="宋体" w:cs="仿宋_GB2312"/>
          <w:sz w:val="24"/>
          <w:szCs w:val="24"/>
        </w:rPr>
      </w:pPr>
      <w:r>
        <w:rPr>
          <w:rFonts w:ascii="宋体" w:hAnsi="宋体" w:cs="宋体"/>
          <w:sz w:val="24"/>
          <w:szCs w:val="24"/>
        </w:rPr>
        <w:t>3</w:t>
      </w:r>
      <w:r>
        <w:rPr>
          <w:rFonts w:hint="eastAsia" w:ascii="宋体" w:hAnsi="宋体" w:cs="宋体"/>
          <w:sz w:val="24"/>
          <w:szCs w:val="24"/>
        </w:rPr>
        <w:t>、磋商报价表必须加盖单位公章且必须经法定代表人或被授权人签字或盖章。</w:t>
      </w:r>
      <w:r>
        <w:rPr>
          <w:rFonts w:hint="eastAsia" w:ascii="宋体" w:hAnsi="宋体"/>
          <w:sz w:val="24"/>
        </w:rPr>
        <w:t>报价出现前后不一致的，按照下列规定修正：</w:t>
      </w:r>
    </w:p>
    <w:p w14:paraId="6EAA31F5">
      <w:pPr>
        <w:snapToGrid w:val="0"/>
        <w:spacing w:line="360" w:lineRule="auto"/>
        <w:ind w:firstLine="494" w:firstLineChars="206"/>
        <w:rPr>
          <w:rFonts w:hint="eastAsia" w:ascii="宋体" w:hAnsi="宋体" w:cs="仿宋_GB2312"/>
          <w:sz w:val="24"/>
          <w:szCs w:val="24"/>
        </w:rPr>
      </w:pPr>
      <w:r>
        <w:rPr>
          <w:rFonts w:hint="eastAsia" w:ascii="宋体" w:hAnsi="宋体"/>
          <w:sz w:val="24"/>
        </w:rPr>
        <w:t>（1）</w:t>
      </w:r>
      <w:r>
        <w:rPr>
          <w:rFonts w:hint="eastAsia" w:ascii="宋体" w:hAnsi="宋体" w:cs="仿宋_GB2312"/>
          <w:sz w:val="24"/>
          <w:szCs w:val="24"/>
        </w:rPr>
        <w:t>响应文件中报价总表内容与响应文件中内容明细不一致的，以报价总表为准；</w:t>
      </w:r>
    </w:p>
    <w:p w14:paraId="124B7A9E">
      <w:pPr>
        <w:snapToGrid w:val="0"/>
        <w:spacing w:line="360" w:lineRule="auto"/>
        <w:ind w:firstLine="494" w:firstLineChars="206"/>
        <w:rPr>
          <w:rFonts w:hint="eastAsia" w:ascii="宋体" w:hAnsi="宋体" w:cs="仿宋_GB2312"/>
          <w:sz w:val="24"/>
          <w:szCs w:val="24"/>
        </w:rPr>
      </w:pPr>
      <w:r>
        <w:rPr>
          <w:rFonts w:hint="eastAsia" w:ascii="宋体" w:hAnsi="宋体" w:cs="仿宋_GB2312"/>
          <w:sz w:val="24"/>
          <w:szCs w:val="24"/>
        </w:rPr>
        <w:t>（2）响应文件中涉及大写金额和小写金额不一致的，以大写金额为准；</w:t>
      </w:r>
    </w:p>
    <w:p w14:paraId="74ABC78D">
      <w:pPr>
        <w:snapToGrid w:val="0"/>
        <w:spacing w:line="360" w:lineRule="auto"/>
        <w:ind w:firstLine="494" w:firstLineChars="206"/>
        <w:rPr>
          <w:rFonts w:hint="eastAsia" w:ascii="宋体" w:hAnsi="宋体" w:cs="仿宋_GB2312"/>
          <w:sz w:val="24"/>
          <w:szCs w:val="24"/>
        </w:rPr>
      </w:pPr>
      <w:r>
        <w:rPr>
          <w:rFonts w:hint="eastAsia" w:ascii="宋体" w:hAnsi="宋体" w:cs="仿宋_GB2312"/>
          <w:sz w:val="24"/>
          <w:szCs w:val="24"/>
        </w:rPr>
        <w:t>（3）总价金额与按单价汇总金额不一致的，以单价金额计算结果为准；</w:t>
      </w:r>
    </w:p>
    <w:p w14:paraId="7D136959">
      <w:pPr>
        <w:snapToGrid w:val="0"/>
        <w:spacing w:line="360" w:lineRule="auto"/>
        <w:ind w:firstLine="494" w:firstLineChars="206"/>
        <w:rPr>
          <w:rFonts w:hint="eastAsia" w:ascii="宋体" w:hAnsi="宋体" w:cs="仿宋_GB2312"/>
          <w:sz w:val="24"/>
          <w:szCs w:val="24"/>
        </w:rPr>
      </w:pPr>
      <w:r>
        <w:rPr>
          <w:rFonts w:hint="eastAsia" w:ascii="宋体" w:hAnsi="宋体" w:cs="仿宋_GB2312"/>
          <w:sz w:val="24"/>
          <w:szCs w:val="24"/>
        </w:rPr>
        <w:t>（4）单价金额小数点有明显错位的，应以总价为准，并修改单价。</w:t>
      </w:r>
    </w:p>
    <w:p w14:paraId="6CBD88B8">
      <w:pPr>
        <w:snapToGrid w:val="0"/>
        <w:spacing w:line="360" w:lineRule="auto"/>
        <w:ind w:firstLine="494" w:firstLineChars="206"/>
        <w:rPr>
          <w:rFonts w:hint="eastAsia" w:ascii="宋体" w:hAnsi="宋体" w:cs="宋体"/>
          <w:sz w:val="24"/>
          <w:szCs w:val="24"/>
        </w:rPr>
      </w:pPr>
      <w:r>
        <w:rPr>
          <w:rFonts w:hint="eastAsia" w:ascii="宋体" w:hAnsi="宋体"/>
          <w:sz w:val="24"/>
          <w:szCs w:val="24"/>
        </w:rPr>
        <w:t>同时出现两种以上不一致的，按照前款规定的顺序修正。修正后的报价应当由供应商的法定代表人或其被授权人签字确认后产生约束力，供应商不确认的，其投标无效。</w:t>
      </w:r>
    </w:p>
    <w:p w14:paraId="3E32F1C1">
      <w:pPr>
        <w:spacing w:line="360" w:lineRule="auto"/>
        <w:ind w:firstLine="480" w:firstLineChars="200"/>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、磋商总报价（以人民币计价）应包括全系统集成费用，包括设备调试费用、人员培训费及其它所需配件及线材辅料等一切费用，同时包含响应供应商的企业管理费、利润、税金等所有费用。</w:t>
      </w:r>
    </w:p>
    <w:p w14:paraId="43715D25">
      <w:pPr>
        <w:spacing w:line="360" w:lineRule="auto"/>
        <w:ind w:firstLine="480" w:firstLineChars="200"/>
        <w:rPr>
          <w:rFonts w:hint="eastAsia" w:ascii="宋体" w:hAnsi="宋体" w:cs="宋体"/>
          <w:sz w:val="24"/>
          <w:szCs w:val="24"/>
        </w:rPr>
      </w:pPr>
      <w:r>
        <w:rPr>
          <w:rFonts w:hint="eastAsia" w:ascii="宋体" w:hAnsi="宋体" w:cs="宋体"/>
          <w:sz w:val="24"/>
          <w:szCs w:val="24"/>
        </w:rPr>
        <w:t>5、供应商的最终报价为成交价，同时，成交供应商的成交价在合同实施期间不因市场变化因素而变动。</w:t>
      </w:r>
    </w:p>
    <w:p w14:paraId="6F0F1AB9">
      <w:pPr>
        <w:snapToGrid w:val="0"/>
        <w:spacing w:line="360" w:lineRule="auto"/>
        <w:ind w:firstLine="480" w:firstLineChars="200"/>
        <w:rPr>
          <w:rFonts w:hint="eastAsia" w:ascii="宋体" w:hAnsi="宋体" w:cs="Calibri"/>
          <w:sz w:val="24"/>
          <w:szCs w:val="24"/>
        </w:rPr>
      </w:pPr>
      <w:r>
        <w:rPr>
          <w:rFonts w:hint="eastAsia" w:ascii="宋体" w:hAnsi="宋体" w:cs="宋体"/>
          <w:sz w:val="24"/>
          <w:szCs w:val="24"/>
        </w:rPr>
        <w:t>6、最低的磋商报价是成交的重要条件，但不是成交的唯一条件。</w:t>
      </w:r>
    </w:p>
    <w:p w14:paraId="31811395">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7、投标供应商应详细阅读磋商文件的全部内容，根据采购项目需求，准确制定相关工作方案等，必须对本采购项目全部进行报价，如有漏项，视同对本项目的优惠。不按磋商文件的要求提供响应文件，导致报价无效，按无效标处理。</w:t>
      </w:r>
    </w:p>
    <w:p w14:paraId="3FD91604">
      <w:pPr>
        <w:snapToGrid w:val="0"/>
        <w:spacing w:line="360" w:lineRule="auto"/>
        <w:ind w:firstLine="496" w:firstLineChars="206"/>
        <w:outlineLvl w:val="1"/>
        <w:rPr>
          <w:rFonts w:hint="eastAsia" w:ascii="宋体" w:hAnsi="宋体" w:cs="宋体"/>
          <w:b/>
          <w:bCs/>
          <w:sz w:val="24"/>
          <w:szCs w:val="24"/>
        </w:rPr>
      </w:pPr>
      <w:r>
        <w:rPr>
          <w:rFonts w:hint="eastAsia" w:ascii="宋体" w:hAnsi="宋体" w:cs="宋体"/>
          <w:b/>
          <w:bCs/>
          <w:sz w:val="24"/>
          <w:szCs w:val="24"/>
        </w:rPr>
        <w:t>七、联合体参与磋商</w:t>
      </w:r>
    </w:p>
    <w:p w14:paraId="062E7DF5">
      <w:pPr>
        <w:snapToGrid w:val="0"/>
        <w:spacing w:line="360" w:lineRule="auto"/>
        <w:ind w:firstLine="480" w:firstLineChars="200"/>
        <w:outlineLvl w:val="1"/>
        <w:rPr>
          <w:rFonts w:hint="eastAsia" w:ascii="宋体" w:hAnsi="宋体" w:cs="宋体"/>
          <w:sz w:val="24"/>
          <w:szCs w:val="24"/>
        </w:rPr>
      </w:pPr>
      <w:r>
        <w:rPr>
          <w:rFonts w:hint="eastAsia" w:ascii="宋体" w:hAnsi="宋体" w:cs="宋体"/>
          <w:sz w:val="24"/>
          <w:szCs w:val="24"/>
        </w:rPr>
        <w:t>不接受任何形式的联合体参与本项目的竞争性磋商。</w:t>
      </w:r>
    </w:p>
    <w:p w14:paraId="40A2E610">
      <w:pPr>
        <w:snapToGrid w:val="0"/>
        <w:spacing w:line="360" w:lineRule="auto"/>
        <w:ind w:firstLine="482" w:firstLineChars="200"/>
        <w:outlineLvl w:val="1"/>
        <w:rPr>
          <w:rFonts w:hint="eastAsia" w:ascii="宋体" w:hAnsi="宋体" w:cs="宋体"/>
          <w:sz w:val="24"/>
          <w:szCs w:val="24"/>
        </w:rPr>
      </w:pPr>
      <w:r>
        <w:rPr>
          <w:rFonts w:hint="eastAsia" w:ascii="宋体" w:hAnsi="宋体" w:cs="宋体"/>
          <w:b/>
          <w:bCs/>
          <w:sz w:val="24"/>
          <w:szCs w:val="24"/>
        </w:rPr>
        <w:t>八、响应文件及</w:t>
      </w:r>
      <w:r>
        <w:rPr>
          <w:rFonts w:hint="eastAsia" w:ascii="宋体" w:hAnsi="宋体" w:cs="宋体"/>
          <w:b/>
          <w:kern w:val="0"/>
          <w:sz w:val="24"/>
          <w:szCs w:val="24"/>
        </w:rPr>
        <w:t>磋商</w:t>
      </w:r>
      <w:r>
        <w:rPr>
          <w:rFonts w:hint="eastAsia" w:ascii="宋体" w:hAnsi="宋体" w:cs="宋体"/>
          <w:b/>
          <w:bCs/>
          <w:sz w:val="24"/>
          <w:szCs w:val="24"/>
        </w:rPr>
        <w:t>费用</w:t>
      </w:r>
    </w:p>
    <w:p w14:paraId="4460C748">
      <w:pPr>
        <w:snapToGrid w:val="0"/>
        <w:spacing w:line="360" w:lineRule="auto"/>
        <w:ind w:firstLine="460" w:firstLineChars="192"/>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、磋商程序顺利进行后，所有的响应文件都将作为档案保存，不论成交与否，代理机构均不退回。</w:t>
      </w:r>
    </w:p>
    <w:p w14:paraId="4FC9FC55">
      <w:pPr>
        <w:snapToGrid w:val="0"/>
        <w:spacing w:line="360" w:lineRule="auto"/>
        <w:ind w:firstLine="460" w:firstLineChars="192"/>
        <w:rPr>
          <w:rFonts w:hint="eastAsia" w:ascii="宋体" w:hAnsi="宋体" w:cs="宋体"/>
          <w:sz w:val="24"/>
          <w:szCs w:val="24"/>
        </w:rPr>
      </w:pPr>
      <w:r>
        <w:rPr>
          <w:rFonts w:hint="eastAsia" w:ascii="宋体" w:hAnsi="宋体" w:cs="宋体"/>
          <w:sz w:val="24"/>
          <w:szCs w:val="24"/>
        </w:rPr>
        <w:t>2、供应商在提交磋商响应文件的同时提交300元（现金）磋商文件相关费用，无论是否成交，该费用不予退还。</w:t>
      </w:r>
    </w:p>
    <w:p w14:paraId="12E2274B">
      <w:pPr>
        <w:snapToGrid w:val="0"/>
        <w:spacing w:line="360" w:lineRule="auto"/>
        <w:ind w:firstLine="460" w:firstLineChars="192"/>
        <w:rPr>
          <w:rFonts w:hint="eastAsia" w:ascii="宋体" w:hAnsi="宋体" w:cs="宋体"/>
          <w:sz w:val="24"/>
          <w:szCs w:val="24"/>
        </w:rPr>
      </w:pPr>
      <w:r>
        <w:rPr>
          <w:rFonts w:ascii="宋体" w:hAnsi="宋体" w:cs="宋体"/>
          <w:sz w:val="24"/>
          <w:szCs w:val="24"/>
        </w:rPr>
        <w:t>3</w:t>
      </w:r>
      <w:r>
        <w:rPr>
          <w:rFonts w:hint="eastAsia" w:ascii="宋体" w:hAnsi="宋体" w:cs="宋体"/>
          <w:sz w:val="24"/>
          <w:szCs w:val="24"/>
        </w:rPr>
        <w:t>、成交后，供应商须向招标代理机构缴纳招标代理服务费，收费标准为成交价</w:t>
      </w:r>
      <w:r>
        <w:rPr>
          <w:rFonts w:ascii="宋体" w:hAnsi="宋体" w:cs="宋体"/>
          <w:sz w:val="24"/>
          <w:szCs w:val="24"/>
        </w:rPr>
        <w:t>*1.</w:t>
      </w:r>
      <w:r>
        <w:rPr>
          <w:rFonts w:hint="eastAsia" w:ascii="宋体" w:hAnsi="宋体" w:cs="宋体"/>
          <w:sz w:val="24"/>
          <w:szCs w:val="24"/>
        </w:rPr>
        <w:t>2</w:t>
      </w:r>
      <w:r>
        <w:rPr>
          <w:rFonts w:ascii="宋体" w:hAnsi="宋体" w:cs="宋体"/>
          <w:sz w:val="24"/>
          <w:szCs w:val="24"/>
        </w:rPr>
        <w:t>%</w:t>
      </w:r>
      <w:r>
        <w:rPr>
          <w:rFonts w:hint="eastAsia" w:ascii="宋体" w:hAnsi="宋体" w:cs="宋体"/>
          <w:sz w:val="24"/>
          <w:szCs w:val="24"/>
        </w:rPr>
        <w:t>，不足20</w:t>
      </w:r>
      <w:r>
        <w:rPr>
          <w:rFonts w:ascii="宋体" w:hAnsi="宋体" w:cs="宋体"/>
          <w:sz w:val="24"/>
          <w:szCs w:val="24"/>
        </w:rPr>
        <w:t>00</w:t>
      </w:r>
      <w:r>
        <w:rPr>
          <w:rFonts w:hint="eastAsia" w:ascii="宋体" w:hAnsi="宋体" w:cs="宋体"/>
          <w:sz w:val="24"/>
          <w:szCs w:val="24"/>
        </w:rPr>
        <w:t>元，按20</w:t>
      </w:r>
      <w:r>
        <w:rPr>
          <w:rFonts w:ascii="宋体" w:hAnsi="宋体" w:cs="宋体"/>
          <w:sz w:val="24"/>
          <w:szCs w:val="24"/>
        </w:rPr>
        <w:t>00</w:t>
      </w:r>
      <w:r>
        <w:rPr>
          <w:rFonts w:hint="eastAsia" w:ascii="宋体" w:hAnsi="宋体" w:cs="宋体"/>
          <w:sz w:val="24"/>
          <w:szCs w:val="24"/>
        </w:rPr>
        <w:t>元计取。投标供应商在报价中综合考虑该部分费用，不得单列。</w:t>
      </w:r>
    </w:p>
    <w:p w14:paraId="090A16A1">
      <w:pPr>
        <w:snapToGrid w:val="0"/>
        <w:spacing w:line="360" w:lineRule="auto"/>
        <w:ind w:firstLine="460" w:firstLineChars="192"/>
        <w:rPr>
          <w:rFonts w:hint="eastAsia" w:ascii="宋体" w:hAnsi="宋体" w:cs="宋体"/>
          <w:sz w:val="24"/>
          <w:szCs w:val="24"/>
        </w:rPr>
      </w:pPr>
      <w:r>
        <w:rPr>
          <w:rFonts w:ascii="宋体" w:hAnsi="宋体" w:cs="宋体"/>
          <w:sz w:val="24"/>
          <w:szCs w:val="24"/>
        </w:rPr>
        <w:t>4</w:t>
      </w:r>
      <w:r>
        <w:rPr>
          <w:rFonts w:hint="eastAsia" w:ascii="宋体" w:hAnsi="宋体" w:cs="宋体"/>
          <w:sz w:val="24"/>
          <w:szCs w:val="24"/>
        </w:rPr>
        <w:t>、无论磋商过程和结果如何，参加项目磋商的供应商自行承担与本次项目磋商有关的全部费用。</w:t>
      </w:r>
    </w:p>
    <w:p w14:paraId="6312E2AC">
      <w:pPr>
        <w:snapToGrid w:val="0"/>
        <w:spacing w:line="480" w:lineRule="exact"/>
        <w:ind w:firstLine="576" w:firstLineChars="206"/>
        <w:outlineLvl w:val="1"/>
        <w:rPr>
          <w:rFonts w:ascii="宋体" w:cs="宋体"/>
          <w:sz w:val="28"/>
          <w:szCs w:val="28"/>
        </w:rPr>
        <w:sectPr>
          <w:type w:val="continuous"/>
          <w:pgSz w:w="11906" w:h="16838"/>
          <w:pgMar w:top="1134" w:right="1134" w:bottom="1134" w:left="1622" w:header="851" w:footer="992" w:gutter="0"/>
          <w:pgNumType w:fmt="numberInDash"/>
          <w:cols w:space="720" w:num="1"/>
          <w:docGrid w:linePitch="312" w:charSpace="0"/>
        </w:sectPr>
      </w:pPr>
      <w:bookmarkStart w:id="35" w:name="_Toc363573855"/>
    </w:p>
    <w:p w14:paraId="668EC590">
      <w:pPr>
        <w:snapToGrid w:val="0"/>
        <w:spacing w:line="360" w:lineRule="auto"/>
        <w:ind w:firstLine="707" w:firstLineChars="200"/>
        <w:jc w:val="center"/>
        <w:rPr>
          <w:rFonts w:hint="eastAsia" w:ascii="宋体" w:hAnsi="宋体" w:cs="宋体"/>
          <w:b/>
          <w:iCs/>
          <w:w w:val="80"/>
          <w:sz w:val="44"/>
          <w:szCs w:val="44"/>
        </w:rPr>
      </w:pPr>
      <w:r>
        <w:rPr>
          <w:rFonts w:hint="eastAsia" w:ascii="宋体" w:hAnsi="宋体" w:cs="宋体"/>
          <w:b/>
          <w:iCs/>
          <w:w w:val="80"/>
          <w:sz w:val="44"/>
          <w:szCs w:val="44"/>
        </w:rPr>
        <w:t>第三章</w:t>
      </w:r>
      <w:r>
        <w:rPr>
          <w:rFonts w:ascii="宋体" w:hAnsi="宋体" w:cs="宋体"/>
          <w:b/>
          <w:iCs/>
          <w:w w:val="80"/>
          <w:sz w:val="44"/>
          <w:szCs w:val="44"/>
        </w:rPr>
        <w:t xml:space="preserve">  </w:t>
      </w:r>
      <w:bookmarkEnd w:id="25"/>
      <w:bookmarkEnd w:id="26"/>
      <w:bookmarkEnd w:id="27"/>
      <w:bookmarkEnd w:id="28"/>
      <w:bookmarkEnd w:id="29"/>
      <w:bookmarkEnd w:id="30"/>
      <w:bookmarkEnd w:id="31"/>
      <w:bookmarkEnd w:id="32"/>
      <w:bookmarkEnd w:id="33"/>
      <w:bookmarkEnd w:id="34"/>
      <w:r>
        <w:rPr>
          <w:rFonts w:hint="eastAsia" w:ascii="宋体" w:hAnsi="宋体" w:cs="宋体"/>
          <w:b/>
          <w:iCs/>
          <w:w w:val="80"/>
          <w:sz w:val="44"/>
          <w:szCs w:val="44"/>
        </w:rPr>
        <w:t>项目需求</w:t>
      </w:r>
      <w:bookmarkEnd w:id="35"/>
      <w:bookmarkStart w:id="36" w:name="_Toc521201599"/>
      <w:bookmarkStart w:id="37" w:name="_Toc363573856"/>
      <w:bookmarkStart w:id="38" w:name="_Toc94544746"/>
      <w:bookmarkStart w:id="39" w:name="_Toc521203420"/>
      <w:bookmarkStart w:id="40" w:name="_Toc13803483"/>
      <w:bookmarkStart w:id="41" w:name="_Toc8895741"/>
      <w:bookmarkStart w:id="42" w:name="_Toc11500282"/>
      <w:bookmarkStart w:id="43" w:name="_Toc11554641"/>
      <w:bookmarkStart w:id="44" w:name="_Toc11499586"/>
      <w:bookmarkStart w:id="45" w:name="_Toc94544872"/>
      <w:bookmarkStart w:id="46" w:name="_Toc94585342"/>
      <w:bookmarkStart w:id="47" w:name="_Toc12670505"/>
    </w:p>
    <w:p w14:paraId="0E3E006E">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（一） 采购标的需实现的功能或者目标, 以及为落实政府采购政策需满足的要求;</w:t>
      </w:r>
    </w:p>
    <w:p w14:paraId="7BA32AA3">
      <w:pPr>
        <w:adjustRightInd w:val="0"/>
        <w:snapToGrid w:val="0"/>
        <w:spacing w:line="360" w:lineRule="auto"/>
        <w:ind w:firstLine="480" w:firstLineChars="200"/>
        <w:rPr>
          <w:rFonts w:hint="eastAsia" w:ascii="宋体" w:hAnsi="宋体"/>
          <w:sz w:val="24"/>
          <w:szCs w:val="24"/>
        </w:rPr>
      </w:pPr>
      <w:r>
        <w:rPr>
          <w:rFonts w:hint="eastAsia" w:ascii="宋体" w:hAnsi="宋体"/>
          <w:sz w:val="24"/>
          <w:szCs w:val="24"/>
        </w:rPr>
        <w:t>南通市图书馆智能化项目从2015年1月启动建设，至同年9月竣工验收并投入使用，该项目涵盖了机房内的多种软硬件设备，包括网络设备、存储设备、安全设备、服务器、楼层交换机、无线AP、虚拟化平台系统、IMC认证平台、读者服务终端等。为了确保这些设备的稳定运行，图书馆分别于2018年10月和2022年1月进行了第三方维保招标工作，为核心存储、安全产品等重要设备购买了厂家保修服务，并对非重要设备进行日常维护服务。在维保期内，数据中心整体运行平稳，未发生业务中断，但部分设备出现多次故障并进行了返厂维修。鉴于2022年1月采购的维保服务已满三年，且原有设备年限增加，部分后期采购的设备也已过保修期，图书馆决定对维保服务清单进行调整，并通过竞争性磋商的方式来选择一家信誉良好、技术能力强的公司负责智能化维保服务工作。</w:t>
      </w:r>
    </w:p>
    <w:p w14:paraId="3DA7B5A3">
      <w:pPr>
        <w:tabs>
          <w:tab w:val="left" w:pos="1766"/>
        </w:tabs>
        <w:adjustRightInd w:val="0"/>
        <w:snapToGrid w:val="0"/>
        <w:spacing w:line="360" w:lineRule="auto"/>
        <w:ind w:firstLine="480" w:firstLineChars="200"/>
        <w:rPr>
          <w:rFonts w:hint="eastAsia" w:ascii="宋体" w:hAnsi="宋体"/>
          <w:sz w:val="24"/>
          <w:szCs w:val="24"/>
        </w:rPr>
      </w:pPr>
      <w:r>
        <w:rPr>
          <w:rFonts w:hint="eastAsia" w:ascii="宋体" w:hAnsi="宋体"/>
          <w:sz w:val="24"/>
          <w:szCs w:val="24"/>
        </w:rPr>
        <w:t>本次维保服务工作要求</w:t>
      </w:r>
      <w:r>
        <w:rPr>
          <w:rFonts w:hint="eastAsia" w:ascii="宋体" w:hAnsi="宋体"/>
          <w:bCs/>
          <w:sz w:val="24"/>
          <w:szCs w:val="24"/>
        </w:rPr>
        <w:t>成交</w:t>
      </w:r>
      <w:r>
        <w:rPr>
          <w:rFonts w:hint="eastAsia" w:ascii="宋体" w:hAnsi="宋体" w:cs="宋体"/>
          <w:kern w:val="0"/>
          <w:sz w:val="24"/>
          <w:szCs w:val="24"/>
        </w:rPr>
        <w:t>服务商</w:t>
      </w:r>
      <w:r>
        <w:rPr>
          <w:rFonts w:hint="eastAsia" w:ascii="宋体" w:hAnsi="宋体"/>
          <w:sz w:val="24"/>
          <w:szCs w:val="24"/>
        </w:rPr>
        <w:t>提供维保服务清单内所有设备的软硬件保修服务，以及日常设施设备的巡检和保养，以排除潜在的故障因素，发现故障隐患及时处理并上报图书馆，确保各设施设备的稳定运行。同时，考虑到部分安全设备使用年限已达10年以上，设备多次出现故障，且部分功能已不能满足现有业务需求，图书馆拟在维保预算范围内以分期租赁的方式租赁一台上网行为管理设备、一台</w:t>
      </w:r>
      <w:r>
        <w:rPr>
          <w:rFonts w:hint="eastAsia" w:ascii="宋体" w:hAnsi="宋体" w:cs="Courier New"/>
          <w:kern w:val="0"/>
          <w:sz w:val="24"/>
          <w:szCs w:val="24"/>
        </w:rPr>
        <w:t>零信任综合网关设备</w:t>
      </w:r>
      <w:r>
        <w:rPr>
          <w:rFonts w:hint="eastAsia" w:ascii="宋体" w:hAnsi="宋体"/>
          <w:sz w:val="24"/>
          <w:szCs w:val="24"/>
        </w:rPr>
        <w:t>、一台堡垒机设备，设备租赁时间为三年，期满后设备所有权归图书馆所有。</w:t>
      </w:r>
    </w:p>
    <w:p w14:paraId="65F002F5">
      <w:pPr>
        <w:tabs>
          <w:tab w:val="left" w:pos="1766"/>
        </w:tabs>
        <w:adjustRightInd w:val="0"/>
        <w:snapToGrid w:val="0"/>
        <w:spacing w:line="360" w:lineRule="auto"/>
        <w:ind w:firstLine="480" w:firstLineChars="200"/>
        <w:rPr>
          <w:rFonts w:hint="eastAsia" w:ascii="宋体" w:hAnsi="宋体"/>
          <w:sz w:val="24"/>
          <w:szCs w:val="24"/>
        </w:rPr>
      </w:pPr>
      <w:r>
        <w:rPr>
          <w:rFonts w:hint="eastAsia" w:ascii="宋体" w:hAnsi="宋体"/>
          <w:sz w:val="24"/>
          <w:szCs w:val="24"/>
        </w:rPr>
        <w:t>由于图书馆业务工作的要求，此次</w:t>
      </w:r>
      <w:r>
        <w:rPr>
          <w:rFonts w:hint="eastAsia" w:ascii="宋体" w:hAnsi="宋体"/>
          <w:bCs/>
          <w:sz w:val="24"/>
          <w:szCs w:val="24"/>
        </w:rPr>
        <w:t>成交</w:t>
      </w:r>
      <w:r>
        <w:rPr>
          <w:rFonts w:hint="eastAsia" w:ascii="宋体" w:hAnsi="宋体" w:cs="宋体"/>
          <w:kern w:val="0"/>
          <w:sz w:val="24"/>
          <w:szCs w:val="24"/>
        </w:rPr>
        <w:t>服务商</w:t>
      </w:r>
      <w:r>
        <w:rPr>
          <w:rFonts w:hint="eastAsia" w:ascii="宋体" w:hAnsi="宋体"/>
          <w:sz w:val="24"/>
          <w:szCs w:val="24"/>
        </w:rPr>
        <w:t>必须提供7*24小时服务支持，每周进行一次现场巡检并提供巡检报告。在软硬件出现故障时，必须10分钟内做出响应，必要时人员到达图书馆现场进行故障处理，一般故障2个小时内修复，重大故障原则上4个小时内修复。在重要的硬件出现故障时，</w:t>
      </w:r>
      <w:r>
        <w:rPr>
          <w:rFonts w:hint="eastAsia" w:ascii="宋体" w:hAnsi="宋体"/>
          <w:bCs/>
          <w:sz w:val="24"/>
          <w:szCs w:val="24"/>
        </w:rPr>
        <w:t>成交</w:t>
      </w:r>
      <w:r>
        <w:rPr>
          <w:rFonts w:hint="eastAsia" w:ascii="宋体" w:hAnsi="宋体" w:cs="宋体"/>
          <w:kern w:val="0"/>
          <w:sz w:val="24"/>
          <w:szCs w:val="24"/>
        </w:rPr>
        <w:t>服务商</w:t>
      </w:r>
      <w:r>
        <w:rPr>
          <w:rFonts w:hint="eastAsia" w:ascii="宋体" w:hAnsi="宋体"/>
          <w:sz w:val="24"/>
          <w:szCs w:val="24"/>
        </w:rPr>
        <w:t>需提供合适的临时备件以保证图书馆各项业务的正常开展。</w:t>
      </w:r>
    </w:p>
    <w:p w14:paraId="43AE5B8D">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（二）采购标的需执行的国家相关标准、行业标准、地方标准或者其他标准、规范;</w:t>
      </w:r>
    </w:p>
    <w:p w14:paraId="12FB154E">
      <w:pPr>
        <w:widowControl/>
        <w:adjustRightInd w:val="0"/>
        <w:snapToGrid w:val="0"/>
        <w:spacing w:line="360" w:lineRule="auto"/>
        <w:ind w:firstLine="480" w:firstLineChars="200"/>
        <w:rPr>
          <w:rFonts w:hint="eastAsia" w:ascii="宋体" w:hAnsi="宋体" w:cs="仿宋"/>
          <w:sz w:val="24"/>
          <w:szCs w:val="24"/>
        </w:rPr>
      </w:pPr>
      <w:r>
        <w:rPr>
          <w:rFonts w:hint="eastAsia" w:ascii="宋体" w:hAnsi="宋体" w:cs="仿宋"/>
          <w:sz w:val="24"/>
          <w:szCs w:val="24"/>
        </w:rPr>
        <w:t>报价产品的技术标准按国家标准执行，无国家标准的，按行业标准执行，无国家和行业标准的，按企业标准执行；但在磋商文件中有特别要求的，按磋商文件中规定的要求执行，并且符合相关法律、法规规定的要求。</w:t>
      </w:r>
    </w:p>
    <w:p w14:paraId="456D0616">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（三）采购标的需满足的质量、安全、技术规格、物理特性等要求;</w:t>
      </w:r>
    </w:p>
    <w:p w14:paraId="028F4F0A">
      <w:pPr>
        <w:tabs>
          <w:tab w:val="center" w:pos="4474"/>
        </w:tabs>
        <w:snapToGrid w:val="0"/>
        <w:spacing w:line="360" w:lineRule="auto"/>
        <w:ind w:firstLine="482" w:firstLineChars="200"/>
        <w:outlineLvl w:val="0"/>
        <w:rPr>
          <w:rFonts w:hint="eastAsia" w:ascii="宋体" w:hAnsi="宋体"/>
          <w:b/>
          <w:bCs/>
          <w:sz w:val="24"/>
          <w:szCs w:val="24"/>
        </w:rPr>
      </w:pPr>
      <w:r>
        <w:rPr>
          <w:rFonts w:hint="eastAsia" w:ascii="宋体" w:hAnsi="宋体"/>
          <w:b/>
          <w:bCs/>
          <w:sz w:val="24"/>
          <w:szCs w:val="24"/>
        </w:rPr>
        <w:t>1、本次项目服务要求</w:t>
      </w:r>
    </w:p>
    <w:p w14:paraId="4ED7EC54">
      <w:pPr>
        <w:spacing w:line="360" w:lineRule="auto"/>
        <w:ind w:firstLine="482" w:firstLineChars="200"/>
        <w:jc w:val="left"/>
        <w:rPr>
          <w:rFonts w:hint="eastAsia" w:ascii="宋体" w:hAnsi="宋体"/>
          <w:b/>
          <w:sz w:val="24"/>
          <w:szCs w:val="24"/>
        </w:rPr>
      </w:pPr>
      <w:r>
        <w:rPr>
          <w:rFonts w:hint="eastAsia" w:ascii="宋体" w:hAnsi="宋体" w:cs="宋体"/>
          <w:b/>
          <w:sz w:val="24"/>
          <w:szCs w:val="24"/>
        </w:rPr>
        <w:t>保修服务内容:</w:t>
      </w:r>
    </w:p>
    <w:p w14:paraId="4C92271D">
      <w:pPr>
        <w:adjustRightInd w:val="0"/>
        <w:spacing w:line="360" w:lineRule="auto"/>
        <w:ind w:firstLine="480" w:firstLineChars="200"/>
        <w:jc w:val="left"/>
        <w:rPr>
          <w:rFonts w:hint="eastAsia" w:ascii="宋体" w:hAnsi="宋体" w:cs="宋体"/>
          <w:sz w:val="24"/>
          <w:szCs w:val="24"/>
        </w:rPr>
      </w:pPr>
      <w:bookmarkStart w:id="48" w:name="_Hlk191282764"/>
      <w:r>
        <w:rPr>
          <w:rFonts w:hint="eastAsia" w:ascii="宋体" w:hAnsi="宋体" w:cs="宋体"/>
          <w:sz w:val="24"/>
          <w:szCs w:val="24"/>
        </w:rPr>
        <w:t>维保公司负责提供该项目</w:t>
      </w:r>
      <w:r>
        <w:rPr>
          <w:rFonts w:hint="eastAsia" w:ascii="宋体" w:hAnsi="宋体"/>
          <w:sz w:val="24"/>
          <w:szCs w:val="24"/>
        </w:rPr>
        <w:t>维保服务清单内所有设备的软</w:t>
      </w:r>
      <w:r>
        <w:rPr>
          <w:rFonts w:hint="eastAsia" w:ascii="宋体" w:hAnsi="宋体" w:cs="宋体"/>
          <w:sz w:val="24"/>
          <w:szCs w:val="24"/>
        </w:rPr>
        <w:t>硬件保修服务,保修期限自签订合同之日起1年。其中包括：</w:t>
      </w:r>
    </w:p>
    <w:p w14:paraId="1DF350CA">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）提供全天候（24小时*7天）实时电话响应。</w:t>
      </w:r>
    </w:p>
    <w:p w14:paraId="1A6F1347">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（2）故障排除：在规定的时限内排除故障恢复系统运行，进行故障定位、部件更换、数据恢复等全部工作；确保设备所有硬件模块正常运行，每年非正常停机次数不超过2次,累计时间不超过60分钟。</w:t>
      </w:r>
    </w:p>
    <w:p w14:paraId="32433F9E">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（3）系统日志检查：检查错误日志,分析设备状态,系统运行性能检查和高级检查。</w:t>
      </w:r>
    </w:p>
    <w:p w14:paraId="58EC6C69">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（4）出现硬件故障时提供硬件保修或更换服务：接报故障后，响应时间为10分钟，</w:t>
      </w:r>
      <w:r>
        <w:rPr>
          <w:rFonts w:hint="eastAsia" w:ascii="宋体" w:hAnsi="宋体"/>
          <w:sz w:val="24"/>
          <w:szCs w:val="24"/>
        </w:rPr>
        <w:t>一般故障2个小时内修复，重大故障原则上4个小时内修复</w:t>
      </w:r>
      <w:r>
        <w:rPr>
          <w:rFonts w:hint="eastAsia" w:ascii="宋体" w:hAnsi="宋体" w:cs="宋体"/>
          <w:sz w:val="24"/>
          <w:szCs w:val="24"/>
        </w:rPr>
        <w:t>，需更换备</w:t>
      </w:r>
      <w:r>
        <w:rPr>
          <w:rFonts w:ascii="宋体" w:hAnsi="宋体" w:cs="宋体"/>
          <w:sz w:val="24"/>
          <w:szCs w:val="24"/>
        </w:rPr>
        <w:t>件</w:t>
      </w:r>
      <w:r>
        <w:rPr>
          <w:rFonts w:hint="eastAsia" w:ascii="宋体" w:hAnsi="宋体" w:cs="宋体"/>
          <w:sz w:val="24"/>
          <w:szCs w:val="24"/>
        </w:rPr>
        <w:t>的故障一</w:t>
      </w:r>
      <w:r>
        <w:rPr>
          <w:rFonts w:ascii="宋体" w:hAnsi="宋体" w:cs="宋体"/>
          <w:sz w:val="24"/>
          <w:szCs w:val="24"/>
        </w:rPr>
        <w:t>般</w:t>
      </w:r>
      <w:r>
        <w:rPr>
          <w:rFonts w:hint="eastAsia" w:ascii="宋体" w:hAnsi="宋体" w:cs="宋体"/>
          <w:sz w:val="24"/>
          <w:szCs w:val="24"/>
        </w:rPr>
        <w:t>当日</w:t>
      </w:r>
      <w:r>
        <w:rPr>
          <w:rFonts w:ascii="宋体" w:hAnsi="宋体" w:cs="宋体"/>
          <w:sz w:val="24"/>
          <w:szCs w:val="24"/>
        </w:rPr>
        <w:t>修复</w:t>
      </w:r>
      <w:r>
        <w:rPr>
          <w:rFonts w:hint="eastAsia" w:ascii="宋体" w:hAnsi="宋体" w:cs="宋体"/>
          <w:sz w:val="24"/>
          <w:szCs w:val="24"/>
        </w:rPr>
        <w:t>、设备外修的一般次日修复，如需要进行返厂维修的设备，维保方在</w:t>
      </w:r>
      <w:r>
        <w:rPr>
          <w:rFonts w:ascii="宋体" w:hAnsi="宋体" w:cs="宋体"/>
          <w:sz w:val="24"/>
          <w:szCs w:val="24"/>
        </w:rPr>
        <w:t>必要时</w:t>
      </w:r>
      <w:r>
        <w:rPr>
          <w:rFonts w:hint="eastAsia" w:ascii="宋体" w:hAnsi="宋体" w:cs="宋体"/>
          <w:sz w:val="24"/>
          <w:szCs w:val="24"/>
        </w:rPr>
        <w:t>需按</w:t>
      </w:r>
      <w:r>
        <w:rPr>
          <w:rFonts w:ascii="宋体" w:hAnsi="宋体" w:cs="宋体"/>
          <w:sz w:val="24"/>
          <w:szCs w:val="24"/>
        </w:rPr>
        <w:t>照</w:t>
      </w:r>
      <w:r>
        <w:rPr>
          <w:rFonts w:hint="eastAsia" w:ascii="宋体" w:hAnsi="宋体" w:cs="宋体"/>
          <w:sz w:val="24"/>
          <w:szCs w:val="24"/>
        </w:rPr>
        <w:t>图</w:t>
      </w:r>
      <w:r>
        <w:rPr>
          <w:rFonts w:ascii="宋体" w:hAnsi="宋体" w:cs="宋体"/>
          <w:sz w:val="24"/>
          <w:szCs w:val="24"/>
        </w:rPr>
        <w:t>书馆要求</w:t>
      </w:r>
      <w:r>
        <w:rPr>
          <w:rFonts w:hint="eastAsia" w:ascii="宋体" w:hAnsi="宋体" w:cs="宋体"/>
          <w:sz w:val="24"/>
          <w:szCs w:val="24"/>
        </w:rPr>
        <w:t>提供不影响业务系统运行的解决方案或代替品。维修结束后填写《设备维修单》，一式两份，一份报送委托方确认，另一份存档备查，同时每次维修情况记入维保档案报委托方确认。</w:t>
      </w:r>
    </w:p>
    <w:p w14:paraId="0107D416">
      <w:pPr>
        <w:snapToGrid w:val="0"/>
        <w:spacing w:line="360" w:lineRule="auto"/>
        <w:ind w:firstLine="480" w:firstLineChars="200"/>
        <w:jc w:val="left"/>
        <w:rPr>
          <w:rFonts w:hint="eastAsia" w:ascii="宋体" w:hAnsi="宋体" w:cs="宋体"/>
          <w:sz w:val="24"/>
          <w:szCs w:val="24"/>
        </w:rPr>
      </w:pPr>
      <w:r>
        <w:rPr>
          <w:rFonts w:hint="eastAsia" w:ascii="宋体" w:hAnsi="宋体" w:cs="宋体"/>
          <w:sz w:val="24"/>
          <w:szCs w:val="24"/>
        </w:rPr>
        <w:t>（5）维保公司为本项目中的所有设备提供满足服务期限的备品备件，且用于本项目中的备品备件必须是来自于设备原厂商的全新产品。日常维保工作中，维保公司必须在备件库中保有一定数量的易损备品备件（随时对已使用的备件进行补充），以确保能满足日常运维保障的基本要求。</w:t>
      </w:r>
    </w:p>
    <w:p w14:paraId="245FFE99">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（6）设备返修：维保单位对设备故障不能自行修复的，可送原厂返修或送专业单位修理，相关修理费用由维保单位支付。</w:t>
      </w:r>
    </w:p>
    <w:p w14:paraId="11B70CAD">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7）当发生硬件设备故障时，如不能在24小时内修复故障，若用户要求,维保公司必须提供备机，并根据故障设备型号提供备机型号、配置、配电及相关的运行情况资料，在用户监督下进行安装、部署。设备故障修复后，经用户同意维保公司撤回备机，由用户负责对备机进行检查，涉及有用户数据保存的设备，须进行相应的处理。</w:t>
      </w:r>
    </w:p>
    <w:p w14:paraId="366E06B4">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8）故障处理完毕2个工作日内，维保公司提供《故障处理分析报告》，详细说明故障原因、处理过程、解决办法、预防措施等关键内容，并签字盖印章，提交给用户备案。系统恢复正常后，维保公司工程师应对系统进行持续跟踪，避免遗留问题。</w:t>
      </w:r>
    </w:p>
    <w:bookmarkEnd w:id="48"/>
    <w:p w14:paraId="3603EBEA">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日常维护要求</w:t>
      </w:r>
    </w:p>
    <w:p w14:paraId="4F7E3AEF">
      <w:pPr>
        <w:snapToGrid w:val="0"/>
        <w:spacing w:line="360" w:lineRule="auto"/>
        <w:ind w:firstLine="480" w:firstLineChars="200"/>
        <w:rPr>
          <w:rFonts w:hint="eastAsia" w:ascii="宋体" w:hAnsi="宋体" w:cs="宋体"/>
          <w:sz w:val="24"/>
          <w:szCs w:val="24"/>
        </w:rPr>
      </w:pPr>
      <w:bookmarkStart w:id="49" w:name="_Hlk191282781"/>
      <w:r>
        <w:rPr>
          <w:rFonts w:hint="eastAsia" w:ascii="宋体" w:hAnsi="宋体" w:cs="宋体"/>
          <w:sz w:val="24"/>
          <w:szCs w:val="24"/>
        </w:rPr>
        <w:t>根据采购要求，维</w:t>
      </w:r>
      <w:r>
        <w:rPr>
          <w:rFonts w:ascii="宋体" w:hAnsi="宋体" w:cs="宋体"/>
          <w:sz w:val="24"/>
          <w:szCs w:val="24"/>
        </w:rPr>
        <w:t>护公司</w:t>
      </w:r>
      <w:r>
        <w:rPr>
          <w:rFonts w:hint="eastAsia" w:ascii="宋体" w:hAnsi="宋体" w:cs="宋体"/>
          <w:sz w:val="24"/>
          <w:szCs w:val="24"/>
        </w:rPr>
        <w:t>需</w:t>
      </w:r>
      <w:r>
        <w:rPr>
          <w:rFonts w:ascii="宋体" w:hAnsi="宋体" w:cs="宋体"/>
          <w:sz w:val="24"/>
          <w:szCs w:val="24"/>
        </w:rPr>
        <w:t>要组建本次</w:t>
      </w:r>
      <w:r>
        <w:rPr>
          <w:rFonts w:hint="eastAsia" w:ascii="宋体" w:hAnsi="宋体" w:cs="宋体"/>
          <w:sz w:val="24"/>
          <w:szCs w:val="24"/>
        </w:rPr>
        <w:t>维</w:t>
      </w:r>
      <w:r>
        <w:rPr>
          <w:rFonts w:ascii="宋体" w:hAnsi="宋体" w:cs="宋体"/>
          <w:sz w:val="24"/>
          <w:szCs w:val="24"/>
        </w:rPr>
        <w:t>护项目的服务团队，</w:t>
      </w:r>
      <w:r>
        <w:rPr>
          <w:rFonts w:hint="eastAsia" w:ascii="宋体" w:hAnsi="宋体" w:cs="宋体"/>
          <w:kern w:val="0"/>
          <w:sz w:val="24"/>
          <w:szCs w:val="24"/>
        </w:rPr>
        <w:t>承担本次项目的技术服务团队技术人员不少于四人。</w:t>
      </w:r>
      <w:r>
        <w:rPr>
          <w:rFonts w:hint="eastAsia" w:ascii="宋体" w:hAnsi="宋体" w:cs="宋体"/>
          <w:sz w:val="24"/>
          <w:szCs w:val="24"/>
        </w:rPr>
        <w:t>针对本次</w:t>
      </w:r>
      <w:r>
        <w:rPr>
          <w:rFonts w:hint="eastAsia" w:ascii="宋体" w:hAnsi="宋体"/>
          <w:sz w:val="24"/>
          <w:szCs w:val="24"/>
        </w:rPr>
        <w:t>维保服务清单内所有设备除提供软硬件保修服务外，还需要</w:t>
      </w:r>
      <w:r>
        <w:rPr>
          <w:rFonts w:hint="eastAsia" w:ascii="宋体" w:hAnsi="宋体" w:cs="宋体"/>
          <w:sz w:val="24"/>
          <w:szCs w:val="24"/>
        </w:rPr>
        <w:t>进行设备的日常保养，功能性检查，定期排除潜在故障因素，及时发现故障隐患并上报做出处理，确保设备稳定运行。如遇到未在</w:t>
      </w:r>
      <w:r>
        <w:rPr>
          <w:rFonts w:hint="eastAsia" w:ascii="宋体" w:hAnsi="宋体"/>
          <w:sz w:val="24"/>
          <w:szCs w:val="24"/>
        </w:rPr>
        <w:t>维保服务清单</w:t>
      </w:r>
      <w:r>
        <w:rPr>
          <w:rFonts w:hint="eastAsia" w:ascii="宋体" w:hAnsi="宋体" w:cs="宋体"/>
          <w:sz w:val="24"/>
          <w:szCs w:val="24"/>
        </w:rPr>
        <w:t>内的其它设备或系统，与采购方进行协商后进行相关服务，在设备或者业务软件出现故障时及时进行送修、修复等服务，所产生的相关费用与南通市图书馆协商解决。</w:t>
      </w:r>
    </w:p>
    <w:p w14:paraId="38A7D53E">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同时针对用户业务系统的要求，及时响应更新升级平台软件。并做到如下相关服务要求：</w:t>
      </w:r>
    </w:p>
    <w:p w14:paraId="19AC6D03">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维护公司必须做到所有设备巡检每周一次，有特殊情况，可根据实际情况调整为每日一次或应急维护。</w:t>
      </w:r>
    </w:p>
    <w:p w14:paraId="06DEDC7E">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（1）每次定期设备巡检做好纸质记录，将发现的故障隐患上报委托方。</w:t>
      </w:r>
    </w:p>
    <w:p w14:paraId="2EBD7D6E">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（2）定期设备工作状态检查、设备安全性检查、设备性能检查、设备间线缆整理等。</w:t>
      </w:r>
    </w:p>
    <w:p w14:paraId="3681AC85">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（3）解答用户有关产品使用中出现的问题。</w:t>
      </w:r>
    </w:p>
    <w:p w14:paraId="27C42FB4">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（4）对现有系统需要进行调整配置时提供现场支持服务。</w:t>
      </w:r>
    </w:p>
    <w:p w14:paraId="2C66C783">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（5）根据用户需求重新划分存储空间，包括数据克隆。</w:t>
      </w:r>
    </w:p>
    <w:p w14:paraId="7E00AC20">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（6）维保公司还需在用户发生需求时，提供现场人工服务。</w:t>
      </w:r>
    </w:p>
    <w:p w14:paraId="7AD84906">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（7）提供应用系统上线、变更等必要的存储及备份的现场值守服务。</w:t>
      </w:r>
    </w:p>
    <w:p w14:paraId="56765FB1">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（8）提供各设备用户单位服务期系统实施、变更所需的现场值守服务。</w:t>
      </w:r>
    </w:p>
    <w:p w14:paraId="1641F487">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（9）提供系统平台变更：如网络、存储、系统软件等变更时对应的相关的支持服务。</w:t>
      </w:r>
    </w:p>
    <w:p w14:paraId="7B4E8FBE">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（10）软件日常维护:检查虚拟化软件运行状态，桌面使用情况，分配磁盘空间检查,备份软件检查等。</w:t>
      </w:r>
    </w:p>
    <w:p w14:paraId="0FED6EC7">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（11）数据迁移：配合用户提出的相关数据迁移要求，评估数据迁移的风险、制定详细的数据迁移方案，在得到用户许可的情况下提供相应的数据迁移服务。</w:t>
      </w:r>
    </w:p>
    <w:p w14:paraId="22BF7A6C">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（12）日常虚拟化软件维保：保证虚拟化的使用正常，保证桌面系统的运行及稳定性。在虚拟化软件系统出现问题后，及时解决故障，保证虚拟化软件及虚拟桌面的运行。</w:t>
      </w:r>
    </w:p>
    <w:p w14:paraId="26C84891">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（13）对于不属于本次维保项目的设备：应用户要求配合用户或者其它设备的厂商所需的必要辅助服务。</w:t>
      </w:r>
    </w:p>
    <w:p w14:paraId="6C94B984">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（14）对于用户在日常维护中的新购设备，要加入现有系统中的，提供全面的技术支持和硬件安装调试服务。</w:t>
      </w:r>
    </w:p>
    <w:p w14:paraId="209DEACD">
      <w:pPr>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（15）必要时对设备进行清洁，保持设备良好运行状态。</w:t>
      </w:r>
    </w:p>
    <w:p w14:paraId="65457909">
      <w:pPr>
        <w:spacing w:line="360" w:lineRule="auto"/>
        <w:ind w:firstLine="480" w:firstLineChars="200"/>
        <w:jc w:val="left"/>
        <w:rPr>
          <w:rFonts w:hint="eastAsia" w:ascii="宋体" w:hAnsi="宋体" w:cs="宋体"/>
          <w:sz w:val="24"/>
          <w:szCs w:val="24"/>
        </w:rPr>
      </w:pPr>
      <w:bookmarkStart w:id="50" w:name="_Toc304146413"/>
      <w:r>
        <w:rPr>
          <w:rFonts w:hint="eastAsia" w:ascii="宋体" w:hAnsi="宋体" w:cs="宋体"/>
          <w:sz w:val="24"/>
          <w:szCs w:val="24"/>
        </w:rPr>
        <w:t>（16）具有以上系统的综合系统优化支持能力。</w:t>
      </w:r>
    </w:p>
    <w:p w14:paraId="354141CF">
      <w:pPr>
        <w:spacing w:line="360" w:lineRule="auto"/>
        <w:ind w:firstLine="480" w:firstLineChars="200"/>
        <w:jc w:val="left"/>
        <w:rPr>
          <w:rFonts w:hint="eastAsia" w:ascii="宋体" w:hAnsi="宋体" w:cs="宋体"/>
          <w:sz w:val="24"/>
          <w:szCs w:val="24"/>
        </w:rPr>
      </w:pPr>
      <w:r>
        <w:rPr>
          <w:rFonts w:hint="eastAsia" w:ascii="宋体" w:hAnsi="宋体" w:cs="宋体"/>
          <w:sz w:val="24"/>
          <w:szCs w:val="24"/>
        </w:rPr>
        <w:t>（17）服务期内提供与本项目相关的技术咨询服务。</w:t>
      </w:r>
    </w:p>
    <w:bookmarkEnd w:id="49"/>
    <w:bookmarkEnd w:id="50"/>
    <w:p w14:paraId="23867F7D">
      <w:pPr>
        <w:snapToGrid w:val="0"/>
        <w:spacing w:line="360" w:lineRule="auto"/>
        <w:ind w:firstLine="482" w:firstLineChars="200"/>
        <w:rPr>
          <w:rFonts w:hint="eastAsia" w:ascii="宋体" w:hAnsi="宋体" w:cs="宋体"/>
          <w:b/>
          <w:sz w:val="24"/>
          <w:szCs w:val="24"/>
        </w:rPr>
      </w:pPr>
      <w:r>
        <w:rPr>
          <w:rFonts w:hint="eastAsia" w:ascii="宋体" w:hAnsi="宋体" w:cs="宋体"/>
          <w:b/>
          <w:sz w:val="24"/>
          <w:szCs w:val="24"/>
        </w:rPr>
        <w:t>其他要求</w:t>
      </w:r>
    </w:p>
    <w:p w14:paraId="79D5975A">
      <w:pPr>
        <w:snapToGrid w:val="0"/>
        <w:spacing w:line="360" w:lineRule="auto"/>
        <w:ind w:firstLine="480" w:firstLineChars="200"/>
        <w:rPr>
          <w:rFonts w:hint="eastAsia" w:ascii="宋体" w:hAnsi="宋体" w:cs="宋体"/>
          <w:sz w:val="24"/>
          <w:szCs w:val="24"/>
        </w:rPr>
      </w:pPr>
      <w:bookmarkStart w:id="51" w:name="_Hlk191282800"/>
      <w:r>
        <w:rPr>
          <w:rFonts w:hint="eastAsia" w:ascii="宋体" w:hAnsi="宋体" w:cs="宋体"/>
          <w:sz w:val="24"/>
          <w:szCs w:val="24"/>
        </w:rPr>
        <w:t>重大系统变更现场值守服务：服务期内，用户在出现新系统上线、系统割接、设备扩容、移机、机房内调整等重大系统变更事件时，维保公司须对参保设备提供设备移动、安装调试、配置调整、数据迁移、辅助工具软件安装等现场服务。对于不属于维保公司维护设备范围内的设备，应现场配合用户及其他厂商，并提供必要的辅助服务。</w:t>
      </w:r>
    </w:p>
    <w:p w14:paraId="121C59B3">
      <w:pPr>
        <w:spacing w:line="360" w:lineRule="auto"/>
        <w:ind w:firstLine="480" w:firstLineChars="200"/>
        <w:rPr>
          <w:rFonts w:hint="eastAsia" w:ascii="宋体" w:hAnsi="宋体" w:cs="宋体"/>
          <w:sz w:val="24"/>
          <w:szCs w:val="24"/>
        </w:rPr>
      </w:pPr>
      <w:r>
        <w:rPr>
          <w:rFonts w:hint="eastAsia" w:ascii="宋体" w:hAnsi="宋体" w:cs="宋体"/>
          <w:sz w:val="24"/>
          <w:szCs w:val="24"/>
        </w:rPr>
        <w:t>提供免费现场专业技术培训；培训内容包括设备工作原理知识、日常维护技能、基本操作技术和其他相关专业能力等；维保公司提供授课工程师、教材以及相关辅助资料。</w:t>
      </w:r>
    </w:p>
    <w:bookmarkEnd w:id="51"/>
    <w:p w14:paraId="64A9E132">
      <w:pPr>
        <w:spacing w:line="360" w:lineRule="auto"/>
        <w:ind w:firstLine="482" w:firstLineChars="200"/>
        <w:rPr>
          <w:rFonts w:hint="eastAsia" w:ascii="宋体" w:hAnsi="宋体" w:cs="宋体"/>
          <w:b/>
          <w:sz w:val="24"/>
          <w:szCs w:val="24"/>
        </w:rPr>
      </w:pPr>
      <w:r>
        <w:rPr>
          <w:rFonts w:hint="eastAsia" w:ascii="宋体" w:hAnsi="宋体" w:cs="宋体"/>
          <w:b/>
          <w:sz w:val="24"/>
          <w:szCs w:val="24"/>
        </w:rPr>
        <w:t>附</w:t>
      </w:r>
      <w:bookmarkStart w:id="52" w:name="OLE_LINK5"/>
      <w:r>
        <w:rPr>
          <w:rFonts w:hint="eastAsia" w:ascii="宋体" w:hAnsi="宋体" w:cs="宋体"/>
          <w:b/>
          <w:sz w:val="24"/>
          <w:szCs w:val="24"/>
        </w:rPr>
        <w:t>维保服务设备清单：</w:t>
      </w:r>
    </w:p>
    <w:tbl>
      <w:tblPr>
        <w:tblStyle w:val="457"/>
        <w:tblW w:w="92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7"/>
        <w:gridCol w:w="1330"/>
        <w:gridCol w:w="2736"/>
        <w:gridCol w:w="3576"/>
        <w:gridCol w:w="1050"/>
      </w:tblGrid>
      <w:tr w14:paraId="4D669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69" w:type="dxa"/>
            <w:gridSpan w:val="5"/>
            <w:tcBorders>
              <w:bottom w:val="single" w:color="auto" w:sz="4" w:space="0"/>
            </w:tcBorders>
            <w:shd w:val="clear" w:color="auto" w:fill="C6D9F0"/>
            <w:vAlign w:val="center"/>
          </w:tcPr>
          <w:p w14:paraId="64312BB4">
            <w:pPr>
              <w:spacing w:line="360" w:lineRule="auto"/>
              <w:ind w:firstLine="480" w:firstLineChars="200"/>
              <w:jc w:val="center"/>
              <w:rPr>
                <w:rFonts w:hint="eastAsia" w:ascii="宋体" w:hAnsi="宋体" w:cs="Courier New"/>
                <w:kern w:val="0"/>
                <w:sz w:val="24"/>
                <w:szCs w:val="24"/>
              </w:rPr>
            </w:pPr>
            <w:r>
              <w:rPr>
                <w:rFonts w:hint="eastAsia" w:ascii="宋体" w:hAnsi="宋体" w:cs="Courier New"/>
                <w:kern w:val="0"/>
                <w:sz w:val="24"/>
                <w:szCs w:val="24"/>
              </w:rPr>
              <w:t>设备一年维保服务清单</w:t>
            </w:r>
          </w:p>
        </w:tc>
      </w:tr>
      <w:tr w14:paraId="2709B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tcBorders>
              <w:bottom w:val="single" w:color="auto" w:sz="4" w:space="0"/>
            </w:tcBorders>
            <w:shd w:val="clear" w:color="auto" w:fill="C6D9F0"/>
            <w:vAlign w:val="center"/>
          </w:tcPr>
          <w:p w14:paraId="72F61C87">
            <w:pPr>
              <w:spacing w:line="360" w:lineRule="auto"/>
              <w:rPr>
                <w:rFonts w:hint="eastAsia" w:ascii="宋体" w:hAnsi="宋体" w:cs="Courier New"/>
                <w:kern w:val="0"/>
                <w:sz w:val="24"/>
                <w:szCs w:val="24"/>
              </w:rPr>
            </w:pPr>
            <w:r>
              <w:rPr>
                <w:rFonts w:hint="eastAsia" w:ascii="宋体" w:hAnsi="宋体" w:cs="Courier New"/>
                <w:kern w:val="0"/>
                <w:sz w:val="24"/>
                <w:szCs w:val="24"/>
              </w:rPr>
              <w:t>序号</w:t>
            </w:r>
          </w:p>
        </w:tc>
        <w:tc>
          <w:tcPr>
            <w:tcW w:w="1474" w:type="dxa"/>
            <w:tcBorders>
              <w:bottom w:val="single" w:color="auto" w:sz="4" w:space="0"/>
            </w:tcBorders>
            <w:shd w:val="clear" w:color="auto" w:fill="C6D9F0"/>
            <w:vAlign w:val="center"/>
          </w:tcPr>
          <w:p w14:paraId="66B15A0E">
            <w:pPr>
              <w:spacing w:line="360" w:lineRule="auto"/>
              <w:rPr>
                <w:rFonts w:hint="eastAsia" w:ascii="宋体" w:hAnsi="宋体" w:cs="Courier New"/>
                <w:kern w:val="0"/>
                <w:sz w:val="24"/>
                <w:szCs w:val="24"/>
              </w:rPr>
            </w:pPr>
            <w:r>
              <w:rPr>
                <w:rFonts w:hint="eastAsia" w:ascii="宋体" w:hAnsi="宋体" w:cs="Courier New"/>
                <w:kern w:val="0"/>
                <w:sz w:val="24"/>
                <w:szCs w:val="24"/>
              </w:rPr>
              <w:t>品名</w:t>
            </w:r>
          </w:p>
        </w:tc>
        <w:tc>
          <w:tcPr>
            <w:tcW w:w="6054" w:type="dxa"/>
            <w:gridSpan w:val="2"/>
            <w:tcBorders>
              <w:bottom w:val="single" w:color="auto" w:sz="4" w:space="0"/>
            </w:tcBorders>
            <w:shd w:val="clear" w:color="auto" w:fill="C6D9F0"/>
            <w:vAlign w:val="center"/>
          </w:tcPr>
          <w:p w14:paraId="3CD8C465">
            <w:pPr>
              <w:spacing w:line="360" w:lineRule="auto"/>
              <w:ind w:firstLine="480" w:firstLineChars="200"/>
              <w:jc w:val="left"/>
              <w:rPr>
                <w:rFonts w:hint="eastAsia" w:ascii="宋体" w:hAnsi="宋体" w:cs="Courier New"/>
                <w:kern w:val="0"/>
                <w:sz w:val="24"/>
                <w:szCs w:val="24"/>
              </w:rPr>
            </w:pPr>
            <w:r>
              <w:rPr>
                <w:rFonts w:hint="eastAsia" w:ascii="宋体" w:hAnsi="宋体" w:cs="Courier New"/>
                <w:kern w:val="0"/>
                <w:sz w:val="24"/>
                <w:szCs w:val="24"/>
              </w:rPr>
              <w:t>设备型号</w:t>
            </w:r>
          </w:p>
        </w:tc>
        <w:tc>
          <w:tcPr>
            <w:tcW w:w="1141" w:type="dxa"/>
            <w:tcBorders>
              <w:bottom w:val="single" w:color="auto" w:sz="4" w:space="0"/>
            </w:tcBorders>
            <w:shd w:val="clear" w:color="auto" w:fill="C6D9F0"/>
            <w:vAlign w:val="center"/>
          </w:tcPr>
          <w:p w14:paraId="62F3337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数量</w:t>
            </w:r>
          </w:p>
        </w:tc>
      </w:tr>
      <w:tr w14:paraId="43D28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3BCC3164">
            <w:pPr>
              <w:spacing w:line="360" w:lineRule="auto"/>
              <w:rPr>
                <w:rFonts w:hint="eastAsia" w:ascii="宋体" w:hAnsi="宋体" w:cs="Courier New"/>
                <w:kern w:val="0"/>
                <w:sz w:val="24"/>
                <w:szCs w:val="24"/>
              </w:rPr>
            </w:pPr>
            <w:r>
              <w:rPr>
                <w:rFonts w:hint="eastAsia" w:ascii="宋体" w:hAnsi="宋体" w:cs="Courier New"/>
                <w:kern w:val="0"/>
                <w:sz w:val="24"/>
                <w:szCs w:val="24"/>
              </w:rPr>
              <w:t>1</w:t>
            </w:r>
          </w:p>
        </w:tc>
        <w:tc>
          <w:tcPr>
            <w:tcW w:w="1474" w:type="dxa"/>
            <w:vAlign w:val="center"/>
          </w:tcPr>
          <w:p w14:paraId="238FA62B">
            <w:pPr>
              <w:widowControl/>
              <w:spacing w:line="360" w:lineRule="auto"/>
              <w:rPr>
                <w:rFonts w:hint="eastAsia" w:ascii="宋体" w:hAnsi="宋体" w:cs="宋体"/>
                <w:kern w:val="0"/>
                <w:sz w:val="24"/>
                <w:szCs w:val="24"/>
              </w:rPr>
            </w:pPr>
            <w:r>
              <w:rPr>
                <w:rFonts w:hint="eastAsia" w:ascii="宋体" w:hAnsi="宋体" w:cs="宋体"/>
                <w:kern w:val="0"/>
                <w:sz w:val="24"/>
                <w:szCs w:val="24"/>
              </w:rPr>
              <w:t>EMC存储</w:t>
            </w:r>
          </w:p>
        </w:tc>
        <w:tc>
          <w:tcPr>
            <w:tcW w:w="6054" w:type="dxa"/>
            <w:gridSpan w:val="2"/>
            <w:vAlign w:val="center"/>
          </w:tcPr>
          <w:p w14:paraId="58E6751E">
            <w:pPr>
              <w:widowControl/>
              <w:spacing w:line="360" w:lineRule="auto"/>
              <w:jc w:val="left"/>
              <w:rPr>
                <w:rFonts w:hint="eastAsia" w:ascii="宋体" w:hAnsi="宋体" w:cs="宋体"/>
                <w:kern w:val="0"/>
                <w:sz w:val="24"/>
                <w:szCs w:val="24"/>
              </w:rPr>
            </w:pPr>
            <w:r>
              <w:rPr>
                <w:rFonts w:hint="eastAsia" w:ascii="宋体" w:hAnsi="宋体" w:cs="宋体"/>
                <w:kern w:val="0"/>
                <w:sz w:val="24"/>
                <w:szCs w:val="24"/>
              </w:rPr>
              <w:t>VNX5800(含扩展柜、磁盘，容量160T)</w:t>
            </w:r>
          </w:p>
        </w:tc>
        <w:tc>
          <w:tcPr>
            <w:tcW w:w="1141" w:type="dxa"/>
            <w:vAlign w:val="center"/>
          </w:tcPr>
          <w:p w14:paraId="1C27F44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17106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7F40788F">
            <w:pPr>
              <w:spacing w:line="360" w:lineRule="auto"/>
              <w:rPr>
                <w:rFonts w:hint="eastAsia" w:ascii="宋体" w:hAnsi="宋体" w:cs="Courier New"/>
                <w:kern w:val="0"/>
                <w:sz w:val="24"/>
                <w:szCs w:val="24"/>
              </w:rPr>
            </w:pPr>
            <w:r>
              <w:rPr>
                <w:rFonts w:hint="eastAsia" w:ascii="宋体" w:hAnsi="宋体" w:cs="Courier New"/>
                <w:kern w:val="0"/>
                <w:sz w:val="24"/>
                <w:szCs w:val="24"/>
              </w:rPr>
              <w:t>2</w:t>
            </w:r>
          </w:p>
        </w:tc>
        <w:tc>
          <w:tcPr>
            <w:tcW w:w="1474" w:type="dxa"/>
            <w:vAlign w:val="center"/>
          </w:tcPr>
          <w:p w14:paraId="675E0C12">
            <w:pPr>
              <w:widowControl/>
              <w:spacing w:line="360" w:lineRule="auto"/>
              <w:rPr>
                <w:rFonts w:hint="eastAsia" w:ascii="宋体" w:hAnsi="宋体" w:cs="宋体"/>
                <w:kern w:val="0"/>
                <w:sz w:val="24"/>
                <w:szCs w:val="24"/>
              </w:rPr>
            </w:pPr>
            <w:r>
              <w:rPr>
                <w:rFonts w:hint="eastAsia" w:ascii="宋体" w:hAnsi="宋体" w:cs="宋体"/>
                <w:kern w:val="0"/>
                <w:sz w:val="24"/>
                <w:szCs w:val="24"/>
              </w:rPr>
              <w:t>EMC存储</w:t>
            </w:r>
          </w:p>
        </w:tc>
        <w:tc>
          <w:tcPr>
            <w:tcW w:w="6054" w:type="dxa"/>
            <w:gridSpan w:val="2"/>
            <w:vAlign w:val="center"/>
          </w:tcPr>
          <w:p w14:paraId="1E01EDC6">
            <w:pPr>
              <w:widowControl/>
              <w:spacing w:line="360" w:lineRule="auto"/>
              <w:jc w:val="left"/>
              <w:rPr>
                <w:rFonts w:hint="eastAsia" w:ascii="宋体" w:hAnsi="宋体" w:cs="宋体"/>
                <w:kern w:val="0"/>
                <w:sz w:val="24"/>
                <w:szCs w:val="24"/>
              </w:rPr>
            </w:pPr>
            <w:r>
              <w:rPr>
                <w:rFonts w:hint="eastAsia" w:ascii="宋体" w:hAnsi="宋体" w:cs="宋体"/>
                <w:kern w:val="0"/>
                <w:sz w:val="24"/>
                <w:szCs w:val="24"/>
              </w:rPr>
              <w:t>Unity300：双控制器，25块1.2T 10K 2.5寸SAS热插拔硬盘；4个16Gbps FC和4个10Gbps端口。</w:t>
            </w:r>
          </w:p>
        </w:tc>
        <w:tc>
          <w:tcPr>
            <w:tcW w:w="1141" w:type="dxa"/>
            <w:vAlign w:val="center"/>
          </w:tcPr>
          <w:p w14:paraId="4B0B999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2AFD3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B2C1C17">
            <w:pPr>
              <w:spacing w:line="360" w:lineRule="auto"/>
              <w:rPr>
                <w:rFonts w:hint="eastAsia" w:ascii="宋体" w:hAnsi="宋体" w:cs="Courier New"/>
                <w:kern w:val="0"/>
                <w:sz w:val="24"/>
                <w:szCs w:val="24"/>
              </w:rPr>
            </w:pPr>
            <w:r>
              <w:rPr>
                <w:rFonts w:hint="eastAsia" w:ascii="宋体" w:hAnsi="宋体" w:cs="Courier New"/>
                <w:kern w:val="0"/>
                <w:sz w:val="24"/>
                <w:szCs w:val="24"/>
              </w:rPr>
              <w:t>3</w:t>
            </w:r>
          </w:p>
        </w:tc>
        <w:tc>
          <w:tcPr>
            <w:tcW w:w="1474" w:type="dxa"/>
            <w:vAlign w:val="center"/>
          </w:tcPr>
          <w:p w14:paraId="163E9F76">
            <w:pPr>
              <w:widowControl/>
              <w:spacing w:line="360" w:lineRule="auto"/>
              <w:rPr>
                <w:rFonts w:hint="eastAsia" w:ascii="宋体" w:hAnsi="宋体" w:cs="宋体"/>
                <w:kern w:val="0"/>
                <w:sz w:val="24"/>
                <w:szCs w:val="24"/>
              </w:rPr>
            </w:pPr>
            <w:r>
              <w:rPr>
                <w:rFonts w:hint="eastAsia" w:ascii="宋体" w:hAnsi="宋体" w:cs="宋体"/>
                <w:kern w:val="0"/>
                <w:sz w:val="24"/>
                <w:szCs w:val="24"/>
              </w:rPr>
              <w:t>SAN交换机</w:t>
            </w:r>
          </w:p>
        </w:tc>
        <w:tc>
          <w:tcPr>
            <w:tcW w:w="6054" w:type="dxa"/>
            <w:gridSpan w:val="2"/>
            <w:vAlign w:val="center"/>
          </w:tcPr>
          <w:p w14:paraId="7B782424">
            <w:pPr>
              <w:widowControl/>
              <w:spacing w:line="360" w:lineRule="auto"/>
              <w:jc w:val="left"/>
              <w:rPr>
                <w:rFonts w:hint="eastAsia" w:ascii="宋体" w:hAnsi="宋体" w:cs="宋体"/>
                <w:kern w:val="0"/>
                <w:sz w:val="24"/>
                <w:szCs w:val="24"/>
              </w:rPr>
            </w:pPr>
            <w:r>
              <w:rPr>
                <w:rFonts w:hint="eastAsia" w:ascii="宋体" w:hAnsi="宋体" w:cs="宋体"/>
                <w:kern w:val="0"/>
                <w:sz w:val="24"/>
                <w:szCs w:val="24"/>
              </w:rPr>
              <w:t>DS300B:24口8Gb SAN光纤交换机</w:t>
            </w:r>
          </w:p>
        </w:tc>
        <w:tc>
          <w:tcPr>
            <w:tcW w:w="1141" w:type="dxa"/>
            <w:vAlign w:val="center"/>
          </w:tcPr>
          <w:p w14:paraId="4B0F74B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2台</w:t>
            </w:r>
          </w:p>
        </w:tc>
      </w:tr>
      <w:tr w14:paraId="080FA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4F7B72D1">
            <w:pPr>
              <w:spacing w:line="360" w:lineRule="auto"/>
              <w:rPr>
                <w:rFonts w:hint="eastAsia" w:ascii="宋体" w:hAnsi="宋体" w:cs="Courier New"/>
                <w:kern w:val="0"/>
                <w:sz w:val="24"/>
                <w:szCs w:val="24"/>
              </w:rPr>
            </w:pPr>
            <w:r>
              <w:rPr>
                <w:rFonts w:hint="eastAsia" w:ascii="宋体" w:hAnsi="宋体" w:cs="Courier New"/>
                <w:kern w:val="0"/>
                <w:sz w:val="24"/>
                <w:szCs w:val="24"/>
              </w:rPr>
              <w:t>4</w:t>
            </w:r>
          </w:p>
        </w:tc>
        <w:tc>
          <w:tcPr>
            <w:tcW w:w="1474" w:type="dxa"/>
            <w:vAlign w:val="center"/>
          </w:tcPr>
          <w:p w14:paraId="4DF0916B">
            <w:pPr>
              <w:widowControl/>
              <w:spacing w:line="360" w:lineRule="auto"/>
              <w:jc w:val="left"/>
              <w:rPr>
                <w:rFonts w:hint="eastAsia" w:ascii="宋体" w:hAnsi="宋体" w:cs="宋体"/>
                <w:kern w:val="0"/>
                <w:sz w:val="24"/>
                <w:szCs w:val="24"/>
              </w:rPr>
            </w:pPr>
            <w:r>
              <w:rPr>
                <w:rFonts w:hint="eastAsia" w:ascii="宋体" w:hAnsi="宋体" w:cs="宋体"/>
                <w:kern w:val="0"/>
                <w:sz w:val="24"/>
                <w:szCs w:val="24"/>
              </w:rPr>
              <w:t>日志审计</w:t>
            </w:r>
          </w:p>
        </w:tc>
        <w:tc>
          <w:tcPr>
            <w:tcW w:w="6054" w:type="dxa"/>
            <w:gridSpan w:val="2"/>
            <w:vAlign w:val="center"/>
          </w:tcPr>
          <w:p w14:paraId="21079961">
            <w:pPr>
              <w:spacing w:line="360" w:lineRule="auto"/>
              <w:rPr>
                <w:rFonts w:hint="eastAsia" w:ascii="宋体" w:hAnsi="宋体" w:cs="宋体"/>
                <w:kern w:val="0"/>
                <w:sz w:val="24"/>
                <w:szCs w:val="24"/>
              </w:rPr>
            </w:pPr>
            <w:r>
              <w:rPr>
                <w:rFonts w:hint="eastAsia" w:ascii="宋体" w:hAnsi="宋体" w:cs="宋体"/>
                <w:kern w:val="0"/>
                <w:sz w:val="24"/>
                <w:szCs w:val="24"/>
              </w:rPr>
              <w:t>思福迪LogBase-A3770Y：</w:t>
            </w:r>
          </w:p>
          <w:p w14:paraId="3B93DA1B">
            <w:pPr>
              <w:spacing w:line="360" w:lineRule="auto"/>
              <w:rPr>
                <w:rFonts w:hint="eastAsia" w:ascii="宋体" w:hAnsi="宋体" w:cs="宋体"/>
                <w:kern w:val="0"/>
                <w:sz w:val="24"/>
                <w:szCs w:val="24"/>
              </w:rPr>
            </w:pPr>
            <w:r>
              <w:rPr>
                <w:rFonts w:hint="eastAsia" w:ascii="宋体" w:hAnsi="宋体" w:cs="宋体"/>
                <w:kern w:val="0"/>
                <w:sz w:val="24"/>
                <w:szCs w:val="24"/>
              </w:rPr>
              <w:t>采用软硬件一体化产品，2U标准机架式服务器架构；4个千兆以太网电口，有单独的管理端口, 2块4T企业级硬盘,RAID1，可用存储空间4TB；支持外部网络存储(NAS)；日志采集能力8000条/秒，最大处理流量2Gbps；日志动态缓存1000万条；可采用物理旁路模式部署及分布式部署和双网卡冗余部署；支持资产分类管理；支持主机、网络设备、安全设备、应用系统及数据库服务日志采集，支持日志分类管理；内置数据库审计模块支持六大类各版本数据库访问审计功能；内置网络审计模块支持网络协议审计；内置告警规则库；内置综合审计报表。</w:t>
            </w:r>
          </w:p>
        </w:tc>
        <w:tc>
          <w:tcPr>
            <w:tcW w:w="1141" w:type="dxa"/>
            <w:vAlign w:val="center"/>
          </w:tcPr>
          <w:p w14:paraId="32231CA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1台</w:t>
            </w:r>
          </w:p>
        </w:tc>
      </w:tr>
      <w:tr w14:paraId="5C238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5B1F62E2">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5</w:t>
            </w:r>
          </w:p>
        </w:tc>
        <w:tc>
          <w:tcPr>
            <w:tcW w:w="1474" w:type="dxa"/>
            <w:vAlign w:val="center"/>
          </w:tcPr>
          <w:p w14:paraId="5E215F6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链路负载均衡</w:t>
            </w:r>
          </w:p>
        </w:tc>
        <w:tc>
          <w:tcPr>
            <w:tcW w:w="6054" w:type="dxa"/>
            <w:gridSpan w:val="2"/>
            <w:vAlign w:val="center"/>
          </w:tcPr>
          <w:p w14:paraId="4156C4F2">
            <w:pPr>
              <w:spacing w:line="360" w:lineRule="auto"/>
              <w:rPr>
                <w:rFonts w:hint="eastAsia" w:ascii="宋体" w:hAnsi="宋体" w:cs="宋体"/>
                <w:kern w:val="0"/>
                <w:sz w:val="24"/>
                <w:szCs w:val="24"/>
              </w:rPr>
            </w:pPr>
            <w:r>
              <w:rPr>
                <w:rFonts w:hint="eastAsia" w:ascii="宋体" w:hAnsi="宋体" w:cs="宋体"/>
                <w:kern w:val="0"/>
                <w:sz w:val="24"/>
                <w:szCs w:val="24"/>
              </w:rPr>
              <w:t>Radware：LinkProof 4016</w:t>
            </w:r>
          </w:p>
        </w:tc>
        <w:tc>
          <w:tcPr>
            <w:tcW w:w="1141" w:type="dxa"/>
            <w:vAlign w:val="center"/>
          </w:tcPr>
          <w:p w14:paraId="38CE446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1台</w:t>
            </w:r>
          </w:p>
        </w:tc>
      </w:tr>
      <w:tr w14:paraId="0B3D3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593799DF">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6</w:t>
            </w:r>
          </w:p>
        </w:tc>
        <w:tc>
          <w:tcPr>
            <w:tcW w:w="1474" w:type="dxa"/>
            <w:vAlign w:val="center"/>
          </w:tcPr>
          <w:p w14:paraId="4516D84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应用控制</w:t>
            </w:r>
          </w:p>
        </w:tc>
        <w:tc>
          <w:tcPr>
            <w:tcW w:w="6054" w:type="dxa"/>
            <w:gridSpan w:val="2"/>
            <w:vAlign w:val="center"/>
          </w:tcPr>
          <w:p w14:paraId="1873F496">
            <w:pPr>
              <w:spacing w:line="360" w:lineRule="auto"/>
              <w:rPr>
                <w:rFonts w:hint="eastAsia" w:ascii="宋体" w:hAnsi="宋体" w:cs="宋体"/>
                <w:kern w:val="0"/>
                <w:sz w:val="24"/>
                <w:szCs w:val="24"/>
              </w:rPr>
            </w:pPr>
            <w:r>
              <w:rPr>
                <w:rFonts w:hint="eastAsia" w:ascii="宋体" w:hAnsi="宋体" w:cs="宋体"/>
                <w:kern w:val="0"/>
                <w:sz w:val="24"/>
                <w:szCs w:val="24"/>
              </w:rPr>
              <w:t>天融信TF-5138，2U机架式结构；最大配置为34个接口， 默认包括3个可插拨的扩展槽和2个10/100/1000BASE-T接口，标配4光4电千兆接口；标配双电源。支持bypass.吞吐量&gt;2G,最大并发连接数&gt;400万</w:t>
            </w:r>
          </w:p>
        </w:tc>
        <w:tc>
          <w:tcPr>
            <w:tcW w:w="1141" w:type="dxa"/>
            <w:vAlign w:val="center"/>
          </w:tcPr>
          <w:p w14:paraId="337ADB5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2台</w:t>
            </w:r>
          </w:p>
        </w:tc>
      </w:tr>
      <w:tr w14:paraId="4C64D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46B134ED">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7</w:t>
            </w:r>
          </w:p>
        </w:tc>
        <w:tc>
          <w:tcPr>
            <w:tcW w:w="1474" w:type="dxa"/>
            <w:vAlign w:val="center"/>
          </w:tcPr>
          <w:p w14:paraId="17483EC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入侵防御</w:t>
            </w:r>
          </w:p>
        </w:tc>
        <w:tc>
          <w:tcPr>
            <w:tcW w:w="6054" w:type="dxa"/>
            <w:gridSpan w:val="2"/>
            <w:vAlign w:val="center"/>
          </w:tcPr>
          <w:p w14:paraId="499DAB4A">
            <w:pPr>
              <w:spacing w:line="360" w:lineRule="auto"/>
              <w:rPr>
                <w:rFonts w:hint="eastAsia" w:ascii="宋体" w:hAnsi="宋体" w:cs="宋体"/>
                <w:kern w:val="0"/>
                <w:sz w:val="24"/>
                <w:szCs w:val="24"/>
              </w:rPr>
            </w:pPr>
            <w:r>
              <w:rPr>
                <w:rFonts w:hint="eastAsia" w:ascii="宋体" w:hAnsi="宋体" w:cs="宋体"/>
                <w:kern w:val="0"/>
                <w:sz w:val="24"/>
                <w:szCs w:val="24"/>
              </w:rPr>
              <w:t>天融信TI-51214，2U机箱，设备整机吞吐量&gt;4G.最大配置为12个接口，包括8个10/100/1000BASE-T接口和4个SFP插槽。标配双电源。最大并发连接：&gt;100W  IDP吞吐率：&gt;1.8Gbps</w:t>
            </w:r>
          </w:p>
        </w:tc>
        <w:tc>
          <w:tcPr>
            <w:tcW w:w="1141" w:type="dxa"/>
            <w:vAlign w:val="center"/>
          </w:tcPr>
          <w:p w14:paraId="40C122E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2台</w:t>
            </w:r>
          </w:p>
        </w:tc>
      </w:tr>
      <w:tr w14:paraId="07510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54765E2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8</w:t>
            </w:r>
          </w:p>
        </w:tc>
        <w:tc>
          <w:tcPr>
            <w:tcW w:w="1474" w:type="dxa"/>
            <w:vAlign w:val="center"/>
          </w:tcPr>
          <w:p w14:paraId="5C06461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4路机架式服务器</w:t>
            </w:r>
          </w:p>
        </w:tc>
        <w:tc>
          <w:tcPr>
            <w:tcW w:w="6054" w:type="dxa"/>
            <w:gridSpan w:val="2"/>
            <w:vAlign w:val="center"/>
          </w:tcPr>
          <w:p w14:paraId="77BCF231">
            <w:pPr>
              <w:spacing w:line="360" w:lineRule="auto"/>
              <w:rPr>
                <w:rFonts w:hint="eastAsia" w:ascii="宋体" w:hAnsi="宋体" w:cs="宋体"/>
                <w:kern w:val="0"/>
                <w:sz w:val="24"/>
                <w:szCs w:val="24"/>
              </w:rPr>
            </w:pPr>
            <w:r>
              <w:rPr>
                <w:rFonts w:hint="eastAsia" w:ascii="宋体" w:hAnsi="宋体" w:cs="宋体"/>
                <w:kern w:val="0"/>
                <w:sz w:val="24"/>
                <w:szCs w:val="24"/>
              </w:rPr>
              <w:t>X3850X5：4*Intel Xeon 8C Processor Model E7-4830 105W 2.13GHz/24MB CPU，512GB内存，2*300GB 15K SAS硬盘，SR M5015阵列控制器，2*千兆以太网口，2*万兆以太网口，2*单口8Gb HBA卡，1*本地DVD光驱，冗余电源风扇</w:t>
            </w:r>
          </w:p>
        </w:tc>
        <w:tc>
          <w:tcPr>
            <w:tcW w:w="1141" w:type="dxa"/>
            <w:vAlign w:val="center"/>
          </w:tcPr>
          <w:p w14:paraId="26A4475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6台</w:t>
            </w:r>
          </w:p>
        </w:tc>
      </w:tr>
      <w:tr w14:paraId="31911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4AD33AA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9</w:t>
            </w:r>
          </w:p>
        </w:tc>
        <w:tc>
          <w:tcPr>
            <w:tcW w:w="1474" w:type="dxa"/>
            <w:vAlign w:val="center"/>
          </w:tcPr>
          <w:p w14:paraId="247D5FC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2路机架式服务器</w:t>
            </w:r>
          </w:p>
        </w:tc>
        <w:tc>
          <w:tcPr>
            <w:tcW w:w="6054" w:type="dxa"/>
            <w:gridSpan w:val="2"/>
            <w:vAlign w:val="center"/>
          </w:tcPr>
          <w:p w14:paraId="78D0F41E">
            <w:pPr>
              <w:spacing w:line="360" w:lineRule="auto"/>
              <w:rPr>
                <w:rFonts w:hint="eastAsia" w:ascii="宋体" w:hAnsi="宋体" w:cs="宋体"/>
                <w:kern w:val="0"/>
                <w:sz w:val="24"/>
                <w:szCs w:val="24"/>
              </w:rPr>
            </w:pPr>
            <w:r>
              <w:rPr>
                <w:rFonts w:hint="eastAsia" w:ascii="宋体" w:hAnsi="宋体" w:cs="宋体"/>
                <w:kern w:val="0"/>
                <w:sz w:val="24"/>
                <w:szCs w:val="24"/>
              </w:rPr>
              <w:t>X3650M4：2*Intel Xeon Processor E5-2640 v2 8C 2.0GHz 20MB Cache 95W CPU，256GB内存，2*300GB 15K SAS硬盘，SR M5110e阵列控制器，4*千兆以太网口，2*万兆以太网口，2*单口8Gb HBA卡，1*本地DVD光驱，冗余电源风扇</w:t>
            </w:r>
          </w:p>
        </w:tc>
        <w:tc>
          <w:tcPr>
            <w:tcW w:w="1141" w:type="dxa"/>
            <w:vAlign w:val="center"/>
          </w:tcPr>
          <w:p w14:paraId="0332090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8台</w:t>
            </w:r>
          </w:p>
        </w:tc>
      </w:tr>
      <w:tr w14:paraId="1974D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26CD3C36">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10</w:t>
            </w:r>
          </w:p>
        </w:tc>
        <w:tc>
          <w:tcPr>
            <w:tcW w:w="1474" w:type="dxa"/>
            <w:vAlign w:val="center"/>
          </w:tcPr>
          <w:p w14:paraId="2A8BB57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KVM</w:t>
            </w:r>
          </w:p>
        </w:tc>
        <w:tc>
          <w:tcPr>
            <w:tcW w:w="6054" w:type="dxa"/>
            <w:gridSpan w:val="2"/>
            <w:vAlign w:val="center"/>
          </w:tcPr>
          <w:p w14:paraId="4CBC7103">
            <w:pPr>
              <w:spacing w:line="360" w:lineRule="auto"/>
              <w:rPr>
                <w:rFonts w:hint="eastAsia" w:ascii="宋体" w:hAnsi="宋体" w:cs="宋体"/>
                <w:kern w:val="0"/>
                <w:sz w:val="24"/>
                <w:szCs w:val="24"/>
              </w:rPr>
            </w:pPr>
            <w:r>
              <w:rPr>
                <w:rFonts w:hint="eastAsia" w:ascii="宋体" w:hAnsi="宋体" w:cs="宋体"/>
                <w:kern w:val="0"/>
                <w:sz w:val="24"/>
                <w:szCs w:val="24"/>
              </w:rPr>
              <w:t>IBM 1754D1X LCD:19寸液晶KVM切换器，交流供电，USB接口</w:t>
            </w:r>
          </w:p>
        </w:tc>
        <w:tc>
          <w:tcPr>
            <w:tcW w:w="1141" w:type="dxa"/>
            <w:vAlign w:val="center"/>
          </w:tcPr>
          <w:p w14:paraId="74486C6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2台</w:t>
            </w:r>
          </w:p>
        </w:tc>
      </w:tr>
      <w:tr w14:paraId="01261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restart"/>
            <w:vAlign w:val="center"/>
          </w:tcPr>
          <w:p w14:paraId="318A09D0">
            <w:pPr>
              <w:spacing w:line="360" w:lineRule="auto"/>
              <w:jc w:val="center"/>
              <w:rPr>
                <w:rFonts w:hint="eastAsia" w:ascii="宋体" w:hAnsi="宋体" w:cs="宋体"/>
                <w:kern w:val="0"/>
                <w:sz w:val="24"/>
                <w:szCs w:val="24"/>
              </w:rPr>
            </w:pPr>
            <w:r>
              <w:rPr>
                <w:rFonts w:hint="eastAsia" w:ascii="宋体" w:hAnsi="宋体" w:cs="宋体"/>
                <w:kern w:val="0"/>
                <w:sz w:val="24"/>
                <w:szCs w:val="24"/>
              </w:rPr>
              <w:t>11</w:t>
            </w:r>
          </w:p>
        </w:tc>
        <w:tc>
          <w:tcPr>
            <w:tcW w:w="1474" w:type="dxa"/>
            <w:vMerge w:val="restart"/>
            <w:vAlign w:val="center"/>
          </w:tcPr>
          <w:p w14:paraId="17A72F3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核心交换机</w:t>
            </w:r>
          </w:p>
        </w:tc>
        <w:tc>
          <w:tcPr>
            <w:tcW w:w="2508" w:type="dxa"/>
            <w:vAlign w:val="center"/>
          </w:tcPr>
          <w:p w14:paraId="03CAB20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LS-10508</w:t>
            </w:r>
          </w:p>
        </w:tc>
        <w:tc>
          <w:tcPr>
            <w:tcW w:w="3546" w:type="dxa"/>
            <w:vAlign w:val="center"/>
          </w:tcPr>
          <w:p w14:paraId="121CDC7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S10508 以太网交换机主机</w:t>
            </w:r>
          </w:p>
        </w:tc>
        <w:tc>
          <w:tcPr>
            <w:tcW w:w="1141" w:type="dxa"/>
            <w:vAlign w:val="center"/>
          </w:tcPr>
          <w:p w14:paraId="78416E0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2套</w:t>
            </w:r>
          </w:p>
        </w:tc>
      </w:tr>
      <w:tr w14:paraId="4E7B7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2DE09B53">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1CB3843D">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DE4E94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LSUM1SUPA0</w:t>
            </w:r>
          </w:p>
        </w:tc>
        <w:tc>
          <w:tcPr>
            <w:tcW w:w="3546" w:type="dxa"/>
            <w:vAlign w:val="center"/>
          </w:tcPr>
          <w:p w14:paraId="41D5DAB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S10500 系列主控制引擎模块</w:t>
            </w:r>
          </w:p>
        </w:tc>
        <w:tc>
          <w:tcPr>
            <w:tcW w:w="1141" w:type="dxa"/>
            <w:vAlign w:val="center"/>
          </w:tcPr>
          <w:p w14:paraId="44355E9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2块</w:t>
            </w:r>
          </w:p>
        </w:tc>
      </w:tr>
      <w:tr w14:paraId="189C5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716B4E24">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3CA1C15A">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483605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LSUM1FAB08B0</w:t>
            </w:r>
          </w:p>
        </w:tc>
        <w:tc>
          <w:tcPr>
            <w:tcW w:w="3546" w:type="dxa"/>
            <w:vAlign w:val="center"/>
          </w:tcPr>
          <w:p w14:paraId="5F14418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S10508 &amp; S10508-V交换网板,B类</w:t>
            </w:r>
          </w:p>
        </w:tc>
        <w:tc>
          <w:tcPr>
            <w:tcW w:w="1141" w:type="dxa"/>
            <w:vAlign w:val="center"/>
          </w:tcPr>
          <w:p w14:paraId="2723846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6块</w:t>
            </w:r>
          </w:p>
        </w:tc>
      </w:tr>
      <w:tr w14:paraId="51BD9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3FEA6215">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1DC19ECA">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7F5791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LSUM1AC2500</w:t>
            </w:r>
          </w:p>
        </w:tc>
        <w:tc>
          <w:tcPr>
            <w:tcW w:w="3546" w:type="dxa"/>
            <w:vAlign w:val="center"/>
          </w:tcPr>
          <w:p w14:paraId="0F33025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交流电源模块,2500W</w:t>
            </w:r>
          </w:p>
        </w:tc>
        <w:tc>
          <w:tcPr>
            <w:tcW w:w="1141" w:type="dxa"/>
            <w:vAlign w:val="center"/>
          </w:tcPr>
          <w:p w14:paraId="32ED395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4个</w:t>
            </w:r>
          </w:p>
        </w:tc>
      </w:tr>
      <w:tr w14:paraId="1C35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7237B774">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5E85CFEE">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4E86C1C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LSUM1GP24TSE0</w:t>
            </w:r>
          </w:p>
        </w:tc>
        <w:tc>
          <w:tcPr>
            <w:tcW w:w="3546" w:type="dxa"/>
            <w:vAlign w:val="center"/>
          </w:tcPr>
          <w:p w14:paraId="22C5448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S10500 16端口千兆以太网光口(SFP,LC)+8端口千兆以太网Combo口模块(SE)</w:t>
            </w:r>
          </w:p>
        </w:tc>
        <w:tc>
          <w:tcPr>
            <w:tcW w:w="1141" w:type="dxa"/>
            <w:vAlign w:val="center"/>
          </w:tcPr>
          <w:p w14:paraId="04E33A0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2块</w:t>
            </w:r>
          </w:p>
        </w:tc>
      </w:tr>
      <w:tr w14:paraId="1DFE5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5825B738">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39F2CA31">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3243946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LSUM1GP24TXSE0</w:t>
            </w:r>
          </w:p>
        </w:tc>
        <w:tc>
          <w:tcPr>
            <w:tcW w:w="3546" w:type="dxa"/>
            <w:vAlign w:val="center"/>
          </w:tcPr>
          <w:p w14:paraId="65A08AF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S10500 16端口千兆以太网光口(SFP,LC)+8端口千兆以太网Combo口+2端口万兆以太网光接口模块(XFP,LC)(SE)</w:t>
            </w:r>
          </w:p>
        </w:tc>
        <w:tc>
          <w:tcPr>
            <w:tcW w:w="1141" w:type="dxa"/>
            <w:vAlign w:val="center"/>
          </w:tcPr>
          <w:p w14:paraId="5AFFAF8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2块</w:t>
            </w:r>
          </w:p>
        </w:tc>
      </w:tr>
      <w:tr w14:paraId="5668C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42AF3D47">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57CEB0E5">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F6534C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LSUM1TGX4SE0</w:t>
            </w:r>
          </w:p>
        </w:tc>
        <w:tc>
          <w:tcPr>
            <w:tcW w:w="3546" w:type="dxa"/>
            <w:vAlign w:val="center"/>
          </w:tcPr>
          <w:p w14:paraId="58A7A71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S10500 4端口万兆以太网光接口模块(XFP,LC)(SE)</w:t>
            </w:r>
          </w:p>
        </w:tc>
        <w:tc>
          <w:tcPr>
            <w:tcW w:w="1141" w:type="dxa"/>
            <w:vAlign w:val="center"/>
          </w:tcPr>
          <w:p w14:paraId="32C1F88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2块</w:t>
            </w:r>
          </w:p>
        </w:tc>
      </w:tr>
      <w:tr w14:paraId="413C0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00" w:type="dxa"/>
            <w:vMerge w:val="continue"/>
            <w:vAlign w:val="center"/>
          </w:tcPr>
          <w:p w14:paraId="0CE0FF2B">
            <w:pPr>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2EA9C33A">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41B3612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XFP-SX-MM850</w:t>
            </w:r>
          </w:p>
        </w:tc>
        <w:tc>
          <w:tcPr>
            <w:tcW w:w="3546" w:type="dxa"/>
            <w:vAlign w:val="center"/>
          </w:tcPr>
          <w:p w14:paraId="19A33A9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光模块-XFP-10G-多模模块-(850nm,300m,LC)</w:t>
            </w:r>
          </w:p>
        </w:tc>
        <w:tc>
          <w:tcPr>
            <w:tcW w:w="1141" w:type="dxa"/>
            <w:vAlign w:val="center"/>
          </w:tcPr>
          <w:p w14:paraId="260C4EE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10个</w:t>
            </w:r>
          </w:p>
        </w:tc>
      </w:tr>
      <w:tr w14:paraId="63047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3783933B">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4DB418A6">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1122667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SFP-GE-SX-MM850</w:t>
            </w:r>
          </w:p>
        </w:tc>
        <w:tc>
          <w:tcPr>
            <w:tcW w:w="3546" w:type="dxa"/>
            <w:vAlign w:val="center"/>
          </w:tcPr>
          <w:p w14:paraId="6FC15B4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1141" w:type="dxa"/>
            <w:vAlign w:val="center"/>
          </w:tcPr>
          <w:p w14:paraId="67D7F5F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56个</w:t>
            </w:r>
          </w:p>
        </w:tc>
      </w:tr>
      <w:tr w14:paraId="6131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Align w:val="center"/>
          </w:tcPr>
          <w:p w14:paraId="3E80043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12</w:t>
            </w:r>
          </w:p>
        </w:tc>
        <w:tc>
          <w:tcPr>
            <w:tcW w:w="1474" w:type="dxa"/>
            <w:vAlign w:val="center"/>
          </w:tcPr>
          <w:p w14:paraId="502E71BE">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防火墙板卡</w:t>
            </w:r>
          </w:p>
        </w:tc>
        <w:tc>
          <w:tcPr>
            <w:tcW w:w="2508" w:type="dxa"/>
            <w:vAlign w:val="center"/>
          </w:tcPr>
          <w:p w14:paraId="20CE75F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LSUM1FWCEA0</w:t>
            </w:r>
          </w:p>
        </w:tc>
        <w:tc>
          <w:tcPr>
            <w:tcW w:w="3546" w:type="dxa"/>
            <w:vAlign w:val="center"/>
          </w:tcPr>
          <w:p w14:paraId="2B906CC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S10500,FW III 防火墙业务板</w:t>
            </w:r>
          </w:p>
        </w:tc>
        <w:tc>
          <w:tcPr>
            <w:tcW w:w="1141" w:type="dxa"/>
            <w:vAlign w:val="center"/>
          </w:tcPr>
          <w:p w14:paraId="5EAB002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2块</w:t>
            </w:r>
          </w:p>
        </w:tc>
      </w:tr>
      <w:tr w14:paraId="4755F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36DAAAF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13</w:t>
            </w:r>
          </w:p>
        </w:tc>
        <w:tc>
          <w:tcPr>
            <w:tcW w:w="1474" w:type="dxa"/>
            <w:vMerge w:val="restart"/>
            <w:vAlign w:val="center"/>
          </w:tcPr>
          <w:p w14:paraId="7DDE1A0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服务器区万兆接入交换机</w:t>
            </w:r>
          </w:p>
        </w:tc>
        <w:tc>
          <w:tcPr>
            <w:tcW w:w="2508" w:type="dxa"/>
            <w:vAlign w:val="center"/>
          </w:tcPr>
          <w:p w14:paraId="4C98626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LS-6300-42QF</w:t>
            </w:r>
          </w:p>
        </w:tc>
        <w:tc>
          <w:tcPr>
            <w:tcW w:w="3546" w:type="dxa"/>
            <w:vAlign w:val="center"/>
          </w:tcPr>
          <w:p w14:paraId="0D0381D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S6300-42QF L2以太网交换机主机,支持40个XG端口,2个QSFP Plus端口,无电源</w:t>
            </w:r>
          </w:p>
        </w:tc>
        <w:tc>
          <w:tcPr>
            <w:tcW w:w="1141" w:type="dxa"/>
            <w:vAlign w:val="center"/>
          </w:tcPr>
          <w:p w14:paraId="5A9954C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2台</w:t>
            </w:r>
          </w:p>
        </w:tc>
      </w:tr>
      <w:tr w14:paraId="2D6F6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48AAF44B">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616AB9E2">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566A0EB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LSVM1AC650</w:t>
            </w:r>
          </w:p>
        </w:tc>
        <w:tc>
          <w:tcPr>
            <w:tcW w:w="3546" w:type="dxa"/>
            <w:vAlign w:val="center"/>
          </w:tcPr>
          <w:p w14:paraId="3DC410E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650W 交流电源模块</w:t>
            </w:r>
          </w:p>
        </w:tc>
        <w:tc>
          <w:tcPr>
            <w:tcW w:w="1141" w:type="dxa"/>
            <w:vAlign w:val="center"/>
          </w:tcPr>
          <w:p w14:paraId="25C90FC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4个</w:t>
            </w:r>
          </w:p>
        </w:tc>
      </w:tr>
      <w:tr w14:paraId="7CDA5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271F21DF">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70632AEC">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772817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LSWM1FANSC</w:t>
            </w:r>
          </w:p>
        </w:tc>
        <w:tc>
          <w:tcPr>
            <w:tcW w:w="3546" w:type="dxa"/>
            <w:vAlign w:val="center"/>
          </w:tcPr>
          <w:p w14:paraId="6EDCA07E">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S5820X-26S风扇模块(端口侧出风)</w:t>
            </w:r>
          </w:p>
        </w:tc>
        <w:tc>
          <w:tcPr>
            <w:tcW w:w="1141" w:type="dxa"/>
            <w:vAlign w:val="center"/>
          </w:tcPr>
          <w:p w14:paraId="2105F6D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4个</w:t>
            </w:r>
          </w:p>
        </w:tc>
      </w:tr>
      <w:tr w14:paraId="20E2D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5F91CA32">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7706BB33">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584887F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LSWM1QSTK1</w:t>
            </w:r>
          </w:p>
        </w:tc>
        <w:tc>
          <w:tcPr>
            <w:tcW w:w="3546" w:type="dxa"/>
            <w:vAlign w:val="center"/>
          </w:tcPr>
          <w:p w14:paraId="7194F30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40G QSFP+ 3m电缆</w:t>
            </w:r>
          </w:p>
        </w:tc>
        <w:tc>
          <w:tcPr>
            <w:tcW w:w="1141" w:type="dxa"/>
            <w:vAlign w:val="center"/>
          </w:tcPr>
          <w:p w14:paraId="7A3D689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2根</w:t>
            </w:r>
          </w:p>
        </w:tc>
      </w:tr>
      <w:tr w14:paraId="1B0BA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39DF72A8">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4C3E6734">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110A1D5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SFP-XG-SX-MM850</w:t>
            </w:r>
          </w:p>
        </w:tc>
        <w:tc>
          <w:tcPr>
            <w:tcW w:w="3546" w:type="dxa"/>
            <w:vAlign w:val="center"/>
          </w:tcPr>
          <w:p w14:paraId="4C15731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 万兆模块(850nm,300m,LC)</w:t>
            </w:r>
          </w:p>
        </w:tc>
        <w:tc>
          <w:tcPr>
            <w:tcW w:w="1141" w:type="dxa"/>
            <w:vAlign w:val="center"/>
          </w:tcPr>
          <w:p w14:paraId="6DEC3DC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2个</w:t>
            </w:r>
          </w:p>
        </w:tc>
      </w:tr>
      <w:tr w14:paraId="24B7E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291880A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14</w:t>
            </w:r>
          </w:p>
        </w:tc>
        <w:tc>
          <w:tcPr>
            <w:tcW w:w="1474" w:type="dxa"/>
            <w:vMerge w:val="restart"/>
            <w:vAlign w:val="center"/>
          </w:tcPr>
          <w:p w14:paraId="2C0D29D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万兆上行接入交换机</w:t>
            </w:r>
          </w:p>
        </w:tc>
        <w:tc>
          <w:tcPr>
            <w:tcW w:w="2508" w:type="dxa"/>
            <w:vAlign w:val="center"/>
          </w:tcPr>
          <w:p w14:paraId="100AF16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LS-5120-52C-EI-H3</w:t>
            </w:r>
          </w:p>
        </w:tc>
        <w:tc>
          <w:tcPr>
            <w:tcW w:w="3546" w:type="dxa"/>
            <w:vAlign w:val="center"/>
          </w:tcPr>
          <w:p w14:paraId="0EDBBD2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S5120-52C-EI-以太网交换机主机(48GE+4SFP Combo+2Slot)</w:t>
            </w:r>
          </w:p>
        </w:tc>
        <w:tc>
          <w:tcPr>
            <w:tcW w:w="1141" w:type="dxa"/>
            <w:vAlign w:val="center"/>
          </w:tcPr>
          <w:p w14:paraId="1EF47EF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4台</w:t>
            </w:r>
          </w:p>
        </w:tc>
      </w:tr>
      <w:tr w14:paraId="5C757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3F6506F6">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21C8F3F8">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35443A7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LSPM1CX2P</w:t>
            </w:r>
          </w:p>
        </w:tc>
        <w:tc>
          <w:tcPr>
            <w:tcW w:w="3546" w:type="dxa"/>
            <w:vAlign w:val="center"/>
          </w:tcPr>
          <w:p w14:paraId="158320F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S5500 2端口万兆以太网CX4接口模块(3m短距离)</w:t>
            </w:r>
          </w:p>
        </w:tc>
        <w:tc>
          <w:tcPr>
            <w:tcW w:w="1141" w:type="dxa"/>
            <w:vAlign w:val="center"/>
          </w:tcPr>
          <w:p w14:paraId="6293D59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 块</w:t>
            </w:r>
          </w:p>
        </w:tc>
      </w:tr>
      <w:tr w14:paraId="0E961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22628FA4">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3A2D58DA">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78B6679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LSPM2STKC</w:t>
            </w:r>
          </w:p>
        </w:tc>
        <w:tc>
          <w:tcPr>
            <w:tcW w:w="3546" w:type="dxa"/>
            <w:vAlign w:val="center"/>
          </w:tcPr>
          <w:p w14:paraId="08B178E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CX4 本地连接线缆(clip-clip)-300cm</w:t>
            </w:r>
          </w:p>
        </w:tc>
        <w:tc>
          <w:tcPr>
            <w:tcW w:w="1141" w:type="dxa"/>
            <w:vAlign w:val="center"/>
          </w:tcPr>
          <w:p w14:paraId="1B79113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 根</w:t>
            </w:r>
          </w:p>
        </w:tc>
      </w:tr>
      <w:tr w14:paraId="110B4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2F8E6684">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04FF9319">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5BBAE1F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LSPM2SP2P</w:t>
            </w:r>
          </w:p>
        </w:tc>
        <w:tc>
          <w:tcPr>
            <w:tcW w:w="3546" w:type="dxa"/>
            <w:vAlign w:val="center"/>
          </w:tcPr>
          <w:p w14:paraId="2B7B062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S5500 2端口万兆以太网SFP+接口板</w:t>
            </w:r>
          </w:p>
        </w:tc>
        <w:tc>
          <w:tcPr>
            <w:tcW w:w="1141" w:type="dxa"/>
            <w:vAlign w:val="center"/>
          </w:tcPr>
          <w:p w14:paraId="29A744E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 块</w:t>
            </w:r>
          </w:p>
        </w:tc>
      </w:tr>
      <w:tr w14:paraId="7BAE8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7926AEC5">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5C0BA7E9">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463588A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SFP-XG-SX-MM850</w:t>
            </w:r>
          </w:p>
        </w:tc>
        <w:tc>
          <w:tcPr>
            <w:tcW w:w="3546" w:type="dxa"/>
            <w:vAlign w:val="center"/>
          </w:tcPr>
          <w:p w14:paraId="0EC88E45">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 万兆模块(850nm,300m,LC)</w:t>
            </w:r>
          </w:p>
        </w:tc>
        <w:tc>
          <w:tcPr>
            <w:tcW w:w="1141" w:type="dxa"/>
            <w:vAlign w:val="center"/>
          </w:tcPr>
          <w:p w14:paraId="3F069C7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 个</w:t>
            </w:r>
          </w:p>
        </w:tc>
      </w:tr>
      <w:tr w14:paraId="4E24E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7269E2E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15</w:t>
            </w:r>
          </w:p>
        </w:tc>
        <w:tc>
          <w:tcPr>
            <w:tcW w:w="1474" w:type="dxa"/>
            <w:vMerge w:val="restart"/>
            <w:vAlign w:val="center"/>
          </w:tcPr>
          <w:p w14:paraId="63330B7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千兆接入交换机</w:t>
            </w:r>
          </w:p>
        </w:tc>
        <w:tc>
          <w:tcPr>
            <w:tcW w:w="2508" w:type="dxa"/>
            <w:vAlign w:val="center"/>
          </w:tcPr>
          <w:p w14:paraId="384ABF33">
            <w:pPr>
              <w:widowControl/>
              <w:spacing w:line="360" w:lineRule="auto"/>
              <w:ind w:firstLine="480" w:firstLineChars="200"/>
              <w:jc w:val="center"/>
              <w:rPr>
                <w:rFonts w:hint="eastAsia" w:ascii="宋体" w:hAnsi="宋体" w:cs="宋体"/>
                <w:kern w:val="0"/>
                <w:sz w:val="24"/>
                <w:szCs w:val="24"/>
              </w:rPr>
            </w:pPr>
            <w:r>
              <w:rPr>
                <w:rFonts w:hint="eastAsia" w:ascii="宋体" w:hAnsi="宋体" w:cs="宋体"/>
                <w:kern w:val="0"/>
                <w:sz w:val="24"/>
                <w:szCs w:val="24"/>
              </w:rPr>
              <w:t>LS-5120S-52P-EI</w:t>
            </w:r>
          </w:p>
        </w:tc>
        <w:tc>
          <w:tcPr>
            <w:tcW w:w="3546" w:type="dxa"/>
            <w:vAlign w:val="center"/>
          </w:tcPr>
          <w:p w14:paraId="2695D68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S5120S-52P-EI,L2以太网交换机主机,48个10/100/1000BASE-T,4个 SFP,支持AC110/220V</w:t>
            </w:r>
          </w:p>
        </w:tc>
        <w:tc>
          <w:tcPr>
            <w:tcW w:w="1141" w:type="dxa"/>
            <w:vAlign w:val="center"/>
          </w:tcPr>
          <w:p w14:paraId="5D52D792">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27台</w:t>
            </w:r>
          </w:p>
        </w:tc>
      </w:tr>
      <w:tr w14:paraId="1E1D4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796CA508">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580421EF">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3196BBB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SFP-STACK-Kit</w:t>
            </w:r>
          </w:p>
        </w:tc>
        <w:tc>
          <w:tcPr>
            <w:tcW w:w="3546" w:type="dxa"/>
            <w:vAlign w:val="center"/>
          </w:tcPr>
          <w:p w14:paraId="7EAD53C4">
            <w:pPr>
              <w:widowControl/>
              <w:spacing w:line="360" w:lineRule="auto"/>
              <w:rPr>
                <w:rFonts w:hint="eastAsia" w:ascii="宋体" w:hAnsi="宋体" w:cs="宋体"/>
                <w:kern w:val="0"/>
                <w:sz w:val="24"/>
                <w:szCs w:val="24"/>
              </w:rPr>
            </w:pPr>
            <w:r>
              <w:rPr>
                <w:rFonts w:hint="eastAsia" w:ascii="宋体" w:hAnsi="宋体" w:cs="宋体"/>
                <w:kern w:val="0"/>
                <w:sz w:val="24"/>
                <w:szCs w:val="24"/>
              </w:rPr>
              <w:t>SFP堆叠电缆-（150cm，含堆叠模块）</w:t>
            </w:r>
          </w:p>
        </w:tc>
        <w:tc>
          <w:tcPr>
            <w:tcW w:w="1141" w:type="dxa"/>
            <w:vAlign w:val="center"/>
          </w:tcPr>
          <w:p w14:paraId="5A738E0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24 根</w:t>
            </w:r>
          </w:p>
        </w:tc>
      </w:tr>
      <w:tr w14:paraId="2B37F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646CED3F">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41D67A34">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5C1B017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SFP-GE-SX-MM850</w:t>
            </w:r>
          </w:p>
        </w:tc>
        <w:tc>
          <w:tcPr>
            <w:tcW w:w="3546" w:type="dxa"/>
            <w:vAlign w:val="center"/>
          </w:tcPr>
          <w:p w14:paraId="1313431D">
            <w:pPr>
              <w:widowControl/>
              <w:spacing w:line="360" w:lineRule="auto"/>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1141" w:type="dxa"/>
            <w:vAlign w:val="center"/>
          </w:tcPr>
          <w:p w14:paraId="65027B1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26 个</w:t>
            </w:r>
          </w:p>
        </w:tc>
      </w:tr>
      <w:tr w14:paraId="7AD80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1C554822">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16</w:t>
            </w:r>
          </w:p>
        </w:tc>
        <w:tc>
          <w:tcPr>
            <w:tcW w:w="1474" w:type="dxa"/>
            <w:vMerge w:val="restart"/>
            <w:vAlign w:val="center"/>
          </w:tcPr>
          <w:p w14:paraId="0EBD13C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无线控制器</w:t>
            </w:r>
          </w:p>
        </w:tc>
        <w:tc>
          <w:tcPr>
            <w:tcW w:w="2508" w:type="dxa"/>
            <w:vAlign w:val="center"/>
          </w:tcPr>
          <w:p w14:paraId="06AB669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EWP-WX5004-H3</w:t>
            </w:r>
          </w:p>
        </w:tc>
        <w:tc>
          <w:tcPr>
            <w:tcW w:w="3546" w:type="dxa"/>
            <w:vAlign w:val="center"/>
          </w:tcPr>
          <w:p w14:paraId="788BB7B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WX5004-4端口千兆Combo无线控制器</w:t>
            </w:r>
          </w:p>
        </w:tc>
        <w:tc>
          <w:tcPr>
            <w:tcW w:w="1141" w:type="dxa"/>
            <w:vAlign w:val="center"/>
          </w:tcPr>
          <w:p w14:paraId="2315151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 台</w:t>
            </w:r>
          </w:p>
        </w:tc>
      </w:tr>
      <w:tr w14:paraId="30DFA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4DA27628">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6C9BADAD">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B62BB30">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LSKM2150A</w:t>
            </w:r>
          </w:p>
        </w:tc>
        <w:tc>
          <w:tcPr>
            <w:tcW w:w="3546" w:type="dxa"/>
            <w:vAlign w:val="center"/>
          </w:tcPr>
          <w:p w14:paraId="05B3E54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150W 交流电源模块</w:t>
            </w:r>
          </w:p>
        </w:tc>
        <w:tc>
          <w:tcPr>
            <w:tcW w:w="1141" w:type="dxa"/>
            <w:vAlign w:val="center"/>
          </w:tcPr>
          <w:p w14:paraId="61706BA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 块</w:t>
            </w:r>
          </w:p>
        </w:tc>
      </w:tr>
      <w:tr w14:paraId="557AB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0F45DE37">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066AA459">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442F9EEF">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LIS-WX-32-A</w:t>
            </w:r>
          </w:p>
        </w:tc>
        <w:tc>
          <w:tcPr>
            <w:tcW w:w="3546" w:type="dxa"/>
            <w:vAlign w:val="center"/>
          </w:tcPr>
          <w:p w14:paraId="71F0FDEE">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高性能无线控制器license费用-管理32AP</w:t>
            </w:r>
          </w:p>
        </w:tc>
        <w:tc>
          <w:tcPr>
            <w:tcW w:w="1141" w:type="dxa"/>
            <w:vAlign w:val="center"/>
          </w:tcPr>
          <w:p w14:paraId="454A7BC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 套</w:t>
            </w:r>
          </w:p>
        </w:tc>
      </w:tr>
      <w:tr w14:paraId="13174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607F0C3A">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0504FD3E">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2B73E3C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SFP-GE-SX-MM850</w:t>
            </w:r>
          </w:p>
        </w:tc>
        <w:tc>
          <w:tcPr>
            <w:tcW w:w="3546" w:type="dxa"/>
            <w:vAlign w:val="center"/>
          </w:tcPr>
          <w:p w14:paraId="17F6223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1141" w:type="dxa"/>
            <w:vAlign w:val="center"/>
          </w:tcPr>
          <w:p w14:paraId="588C229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4 个</w:t>
            </w:r>
          </w:p>
        </w:tc>
      </w:tr>
      <w:tr w14:paraId="6144D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7EE0B8D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17</w:t>
            </w:r>
          </w:p>
        </w:tc>
        <w:tc>
          <w:tcPr>
            <w:tcW w:w="1474" w:type="dxa"/>
            <w:vMerge w:val="restart"/>
            <w:vAlign w:val="center"/>
          </w:tcPr>
          <w:p w14:paraId="0E1F930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POE交换机</w:t>
            </w:r>
          </w:p>
        </w:tc>
        <w:tc>
          <w:tcPr>
            <w:tcW w:w="2508" w:type="dxa"/>
            <w:vAlign w:val="center"/>
          </w:tcPr>
          <w:p w14:paraId="6C5850A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LS-5120-28C-PWR-EI-H3</w:t>
            </w:r>
          </w:p>
        </w:tc>
        <w:tc>
          <w:tcPr>
            <w:tcW w:w="3546" w:type="dxa"/>
            <w:vAlign w:val="center"/>
          </w:tcPr>
          <w:p w14:paraId="131BF49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S5120-28C-PWR-EI-以太网交换机主机(24GE+4SFP Combo+2Slot+POE Plus)</w:t>
            </w:r>
          </w:p>
        </w:tc>
        <w:tc>
          <w:tcPr>
            <w:tcW w:w="1141" w:type="dxa"/>
            <w:vAlign w:val="center"/>
          </w:tcPr>
          <w:p w14:paraId="3282DC2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13 台</w:t>
            </w:r>
          </w:p>
        </w:tc>
      </w:tr>
      <w:tr w14:paraId="60114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28FFC1B9">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76B7B104">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000EEC5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SFP-GE-SX-MM850</w:t>
            </w:r>
          </w:p>
        </w:tc>
        <w:tc>
          <w:tcPr>
            <w:tcW w:w="3546" w:type="dxa"/>
            <w:vAlign w:val="center"/>
          </w:tcPr>
          <w:p w14:paraId="578E02F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1141" w:type="dxa"/>
            <w:vAlign w:val="center"/>
          </w:tcPr>
          <w:p w14:paraId="7E13FE5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26 个</w:t>
            </w:r>
          </w:p>
        </w:tc>
      </w:tr>
      <w:tr w14:paraId="64552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Align w:val="center"/>
          </w:tcPr>
          <w:p w14:paraId="11639EA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18</w:t>
            </w:r>
          </w:p>
        </w:tc>
        <w:tc>
          <w:tcPr>
            <w:tcW w:w="1474" w:type="dxa"/>
            <w:vAlign w:val="center"/>
          </w:tcPr>
          <w:p w14:paraId="35C9BAC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无线接入点AP</w:t>
            </w:r>
          </w:p>
        </w:tc>
        <w:tc>
          <w:tcPr>
            <w:tcW w:w="2508" w:type="dxa"/>
            <w:vAlign w:val="center"/>
          </w:tcPr>
          <w:p w14:paraId="170ECC1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EWP-WA2620i-AGN-FIT</w:t>
            </w:r>
          </w:p>
        </w:tc>
        <w:tc>
          <w:tcPr>
            <w:tcW w:w="3546" w:type="dxa"/>
            <w:vAlign w:val="center"/>
          </w:tcPr>
          <w:p w14:paraId="2DB874DC">
            <w:pPr>
              <w:widowControl/>
              <w:spacing w:line="360" w:lineRule="auto"/>
              <w:ind w:firstLine="480" w:firstLineChars="200"/>
              <w:jc w:val="center"/>
              <w:rPr>
                <w:rFonts w:hint="eastAsia" w:ascii="宋体" w:hAnsi="宋体" w:cs="宋体"/>
                <w:kern w:val="0"/>
                <w:sz w:val="24"/>
                <w:szCs w:val="24"/>
              </w:rPr>
            </w:pPr>
            <w:r>
              <w:rPr>
                <w:rFonts w:hint="eastAsia" w:ascii="宋体" w:hAnsi="宋体" w:cs="宋体"/>
                <w:kern w:val="0"/>
                <w:sz w:val="24"/>
                <w:szCs w:val="24"/>
              </w:rPr>
              <w:t>H3C WA2620i-AGN-802.11n无线局域网智能室内放装型2.4/5GHz双频接入点-FIT</w:t>
            </w:r>
          </w:p>
        </w:tc>
        <w:tc>
          <w:tcPr>
            <w:tcW w:w="1141" w:type="dxa"/>
            <w:vAlign w:val="center"/>
          </w:tcPr>
          <w:p w14:paraId="1867E1F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120 个</w:t>
            </w:r>
          </w:p>
        </w:tc>
      </w:tr>
      <w:tr w14:paraId="23A9E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32C546D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19</w:t>
            </w:r>
          </w:p>
        </w:tc>
        <w:tc>
          <w:tcPr>
            <w:tcW w:w="1474" w:type="dxa"/>
            <w:vMerge w:val="restart"/>
            <w:vAlign w:val="center"/>
          </w:tcPr>
          <w:p w14:paraId="553BAAE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基础网络管理系统</w:t>
            </w:r>
          </w:p>
        </w:tc>
        <w:tc>
          <w:tcPr>
            <w:tcW w:w="2508" w:type="dxa"/>
            <w:vAlign w:val="center"/>
          </w:tcPr>
          <w:p w14:paraId="6D174E7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VC-FSR-R390-Z-L3</w:t>
            </w:r>
          </w:p>
        </w:tc>
        <w:tc>
          <w:tcPr>
            <w:tcW w:w="3546" w:type="dxa"/>
            <w:vAlign w:val="center"/>
          </w:tcPr>
          <w:p w14:paraId="322AAF3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智能网络管理硬件平台-R390,2*E5-2609,2*4GB,2*500G SAS 7.2K,4*GE网卡,460W,机架导轨</w:t>
            </w:r>
          </w:p>
        </w:tc>
        <w:tc>
          <w:tcPr>
            <w:tcW w:w="1141" w:type="dxa"/>
            <w:vAlign w:val="center"/>
          </w:tcPr>
          <w:p w14:paraId="2A914FAA">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1640C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4953B537">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2B5BDFCA">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7EA515EE">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SWP-IMC7-IMP</w:t>
            </w:r>
          </w:p>
        </w:tc>
        <w:tc>
          <w:tcPr>
            <w:tcW w:w="3546" w:type="dxa"/>
            <w:vAlign w:val="center"/>
          </w:tcPr>
          <w:p w14:paraId="1E474B9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iMC-智能管理平台标准版(不含节点)-纯软件(DVD)</w:t>
            </w:r>
          </w:p>
        </w:tc>
        <w:tc>
          <w:tcPr>
            <w:tcW w:w="1141" w:type="dxa"/>
            <w:vAlign w:val="center"/>
          </w:tcPr>
          <w:p w14:paraId="302BAAB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02953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4F0D0980">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42324386">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1D55453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LIS-IMC7-IMPB-50</w:t>
            </w:r>
          </w:p>
        </w:tc>
        <w:tc>
          <w:tcPr>
            <w:tcW w:w="3546" w:type="dxa"/>
            <w:vAlign w:val="center"/>
          </w:tcPr>
          <w:p w14:paraId="6B4D5181">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iMC-智能管理平台标准版管理50节点License费用</w:t>
            </w:r>
          </w:p>
        </w:tc>
        <w:tc>
          <w:tcPr>
            <w:tcW w:w="1141" w:type="dxa"/>
            <w:vAlign w:val="center"/>
          </w:tcPr>
          <w:p w14:paraId="103CABB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2DEF7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328A15AD">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20</w:t>
            </w:r>
          </w:p>
        </w:tc>
        <w:tc>
          <w:tcPr>
            <w:tcW w:w="1474" w:type="dxa"/>
            <w:vMerge w:val="restart"/>
            <w:vAlign w:val="center"/>
          </w:tcPr>
          <w:p w14:paraId="766E5B66">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无线网络管理系统管理</w:t>
            </w:r>
          </w:p>
        </w:tc>
        <w:tc>
          <w:tcPr>
            <w:tcW w:w="2508" w:type="dxa"/>
            <w:vAlign w:val="center"/>
          </w:tcPr>
          <w:p w14:paraId="02B548D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SWP-IMC7-WSM</w:t>
            </w:r>
          </w:p>
        </w:tc>
        <w:tc>
          <w:tcPr>
            <w:tcW w:w="3546" w:type="dxa"/>
            <w:vAlign w:val="center"/>
          </w:tcPr>
          <w:p w14:paraId="7FB7885C">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iMC-WSM无线业务管理组件-纯软件(CD)</w:t>
            </w:r>
          </w:p>
        </w:tc>
        <w:tc>
          <w:tcPr>
            <w:tcW w:w="1141" w:type="dxa"/>
            <w:vAlign w:val="center"/>
          </w:tcPr>
          <w:p w14:paraId="3EF73D1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2DE00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577844F0">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3BF98913">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6F0C683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LIS-IMC7-WSMD-200</w:t>
            </w:r>
          </w:p>
        </w:tc>
        <w:tc>
          <w:tcPr>
            <w:tcW w:w="3546" w:type="dxa"/>
            <w:vAlign w:val="center"/>
          </w:tcPr>
          <w:p w14:paraId="4A07807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iMC-WSM无线业务管理组件管理200台Fit AP设备License费用</w:t>
            </w:r>
          </w:p>
        </w:tc>
        <w:tc>
          <w:tcPr>
            <w:tcW w:w="1141" w:type="dxa"/>
            <w:vAlign w:val="center"/>
          </w:tcPr>
          <w:p w14:paraId="1CD837C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4A935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restart"/>
            <w:vAlign w:val="center"/>
          </w:tcPr>
          <w:p w14:paraId="06A7C75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21</w:t>
            </w:r>
          </w:p>
        </w:tc>
        <w:tc>
          <w:tcPr>
            <w:tcW w:w="1474" w:type="dxa"/>
            <w:vMerge w:val="restart"/>
            <w:vAlign w:val="center"/>
          </w:tcPr>
          <w:p w14:paraId="6D968E78">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用户接入认证系统</w:t>
            </w:r>
          </w:p>
        </w:tc>
        <w:tc>
          <w:tcPr>
            <w:tcW w:w="2508" w:type="dxa"/>
            <w:vAlign w:val="center"/>
          </w:tcPr>
          <w:p w14:paraId="43E49132">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SWP-IMC7-EIA</w:t>
            </w:r>
          </w:p>
        </w:tc>
        <w:tc>
          <w:tcPr>
            <w:tcW w:w="3546" w:type="dxa"/>
            <w:vAlign w:val="center"/>
          </w:tcPr>
          <w:p w14:paraId="32A311E4">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iMC-EIA终端智能接入组件</w:t>
            </w:r>
          </w:p>
        </w:tc>
        <w:tc>
          <w:tcPr>
            <w:tcW w:w="1141" w:type="dxa"/>
            <w:vAlign w:val="center"/>
          </w:tcPr>
          <w:p w14:paraId="34F232C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0D8D2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125DFF80">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3B1F7EFB">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425746D7">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LIS-IMC7-EIAA-50</w:t>
            </w:r>
          </w:p>
        </w:tc>
        <w:tc>
          <w:tcPr>
            <w:tcW w:w="3546" w:type="dxa"/>
            <w:vAlign w:val="center"/>
          </w:tcPr>
          <w:p w14:paraId="29456FE9">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iMC-EIA终端智能接入组件-50 License</w:t>
            </w:r>
          </w:p>
        </w:tc>
        <w:tc>
          <w:tcPr>
            <w:tcW w:w="1141" w:type="dxa"/>
            <w:vAlign w:val="center"/>
          </w:tcPr>
          <w:p w14:paraId="67E31442">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2套</w:t>
            </w:r>
          </w:p>
        </w:tc>
      </w:tr>
      <w:tr w14:paraId="757AA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00" w:type="dxa"/>
            <w:vMerge w:val="continue"/>
            <w:vAlign w:val="center"/>
          </w:tcPr>
          <w:p w14:paraId="7B28BFEE">
            <w:pPr>
              <w:widowControl/>
              <w:spacing w:line="360" w:lineRule="auto"/>
              <w:ind w:firstLine="480" w:firstLineChars="200"/>
              <w:jc w:val="center"/>
              <w:rPr>
                <w:rFonts w:hint="eastAsia" w:ascii="宋体" w:hAnsi="宋体" w:cs="宋体"/>
                <w:kern w:val="0"/>
                <w:sz w:val="24"/>
                <w:szCs w:val="24"/>
              </w:rPr>
            </w:pPr>
          </w:p>
        </w:tc>
        <w:tc>
          <w:tcPr>
            <w:tcW w:w="1474" w:type="dxa"/>
            <w:vMerge w:val="continue"/>
            <w:vAlign w:val="center"/>
          </w:tcPr>
          <w:p w14:paraId="6558184D">
            <w:pPr>
              <w:widowControl/>
              <w:spacing w:line="360" w:lineRule="auto"/>
              <w:ind w:firstLine="480" w:firstLineChars="200"/>
              <w:jc w:val="center"/>
              <w:rPr>
                <w:rFonts w:hint="eastAsia" w:ascii="宋体" w:hAnsi="宋体" w:cs="宋体"/>
                <w:kern w:val="0"/>
                <w:sz w:val="24"/>
                <w:szCs w:val="24"/>
              </w:rPr>
            </w:pPr>
          </w:p>
        </w:tc>
        <w:tc>
          <w:tcPr>
            <w:tcW w:w="2508" w:type="dxa"/>
            <w:vAlign w:val="center"/>
          </w:tcPr>
          <w:p w14:paraId="7FA9322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LIS-IMC7-EIAC-500</w:t>
            </w:r>
          </w:p>
        </w:tc>
        <w:tc>
          <w:tcPr>
            <w:tcW w:w="3546" w:type="dxa"/>
            <w:vAlign w:val="center"/>
          </w:tcPr>
          <w:p w14:paraId="18F565B3">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H3C iMC-EIA终端智能接入组件-500 License</w:t>
            </w:r>
          </w:p>
        </w:tc>
        <w:tc>
          <w:tcPr>
            <w:tcW w:w="1141" w:type="dxa"/>
            <w:vAlign w:val="center"/>
          </w:tcPr>
          <w:p w14:paraId="194B369B">
            <w:pPr>
              <w:widowControl/>
              <w:spacing w:line="360" w:lineRule="auto"/>
              <w:jc w:val="center"/>
              <w:rPr>
                <w:rFonts w:hint="eastAsia" w:ascii="宋体" w:hAnsi="宋体" w:cs="宋体"/>
                <w:kern w:val="0"/>
                <w:sz w:val="24"/>
                <w:szCs w:val="24"/>
              </w:rPr>
            </w:pPr>
            <w:r>
              <w:rPr>
                <w:rFonts w:hint="eastAsia" w:ascii="宋体" w:hAnsi="宋体" w:cs="宋体"/>
                <w:kern w:val="0"/>
                <w:sz w:val="24"/>
                <w:szCs w:val="24"/>
              </w:rPr>
              <w:t>1套</w:t>
            </w:r>
          </w:p>
        </w:tc>
      </w:tr>
      <w:tr w14:paraId="0FE2F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7CCF6778">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22</w:t>
            </w:r>
          </w:p>
        </w:tc>
        <w:tc>
          <w:tcPr>
            <w:tcW w:w="1474" w:type="dxa"/>
            <w:vAlign w:val="center"/>
          </w:tcPr>
          <w:p w14:paraId="3BC156C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虚拟化软件运维服务</w:t>
            </w:r>
          </w:p>
        </w:tc>
        <w:tc>
          <w:tcPr>
            <w:tcW w:w="6054" w:type="dxa"/>
            <w:gridSpan w:val="2"/>
            <w:vAlign w:val="center"/>
          </w:tcPr>
          <w:p w14:paraId="032A4D89">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现有服务器虚拟化及虚拟化桌面的日常维护、操作、故障处理，需要虚拟化桌面认证工程师资格现场服务</w:t>
            </w:r>
          </w:p>
        </w:tc>
        <w:tc>
          <w:tcPr>
            <w:tcW w:w="1141" w:type="dxa"/>
            <w:vAlign w:val="center"/>
          </w:tcPr>
          <w:p w14:paraId="08ED3A51">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1批</w:t>
            </w:r>
          </w:p>
        </w:tc>
      </w:tr>
      <w:tr w14:paraId="72326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11EDAD7B">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23</w:t>
            </w:r>
          </w:p>
        </w:tc>
        <w:tc>
          <w:tcPr>
            <w:tcW w:w="1474" w:type="dxa"/>
            <w:vAlign w:val="center"/>
          </w:tcPr>
          <w:p w14:paraId="6624F59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数据库及操作系统</w:t>
            </w:r>
          </w:p>
        </w:tc>
        <w:tc>
          <w:tcPr>
            <w:tcW w:w="6054" w:type="dxa"/>
            <w:gridSpan w:val="2"/>
            <w:vAlign w:val="center"/>
          </w:tcPr>
          <w:p w14:paraId="32EDFF34">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提供图书馆现有数据库及服务器操作系统日常维护服务工作</w:t>
            </w:r>
          </w:p>
        </w:tc>
        <w:tc>
          <w:tcPr>
            <w:tcW w:w="1141" w:type="dxa"/>
            <w:vAlign w:val="center"/>
          </w:tcPr>
          <w:p w14:paraId="6F64342C">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1批</w:t>
            </w:r>
          </w:p>
        </w:tc>
      </w:tr>
      <w:tr w14:paraId="5CD23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00" w:type="dxa"/>
            <w:vAlign w:val="center"/>
          </w:tcPr>
          <w:p w14:paraId="1240F850">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24</w:t>
            </w:r>
          </w:p>
        </w:tc>
        <w:tc>
          <w:tcPr>
            <w:tcW w:w="1474" w:type="dxa"/>
            <w:vAlign w:val="center"/>
          </w:tcPr>
          <w:p w14:paraId="6182D546">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现场服务</w:t>
            </w:r>
          </w:p>
        </w:tc>
        <w:tc>
          <w:tcPr>
            <w:tcW w:w="6054" w:type="dxa"/>
            <w:gridSpan w:val="2"/>
            <w:vAlign w:val="center"/>
          </w:tcPr>
          <w:p w14:paraId="733CD1D1">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工程师每周需要至少提供一次对数据中心、馆内信息化设备、虚拟化终端及各弱电间巡检、故障报修服务。</w:t>
            </w:r>
          </w:p>
        </w:tc>
        <w:tc>
          <w:tcPr>
            <w:tcW w:w="1141" w:type="dxa"/>
            <w:vAlign w:val="center"/>
          </w:tcPr>
          <w:p w14:paraId="7F4A34A2">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1批</w:t>
            </w:r>
          </w:p>
        </w:tc>
      </w:tr>
    </w:tbl>
    <w:p w14:paraId="07DB720A">
      <w:pPr>
        <w:tabs>
          <w:tab w:val="center" w:pos="4474"/>
        </w:tabs>
        <w:snapToGrid w:val="0"/>
        <w:spacing w:line="360" w:lineRule="auto"/>
        <w:ind w:firstLine="482" w:firstLineChars="200"/>
        <w:jc w:val="left"/>
        <w:outlineLvl w:val="0"/>
        <w:rPr>
          <w:rFonts w:hint="eastAsia" w:ascii="宋体" w:hAnsi="宋体"/>
          <w:b/>
          <w:bCs/>
          <w:sz w:val="24"/>
          <w:szCs w:val="24"/>
        </w:rPr>
      </w:pPr>
    </w:p>
    <w:bookmarkEnd w:id="52"/>
    <w:p w14:paraId="08B2AC9F">
      <w:pPr>
        <w:tabs>
          <w:tab w:val="center" w:pos="4474"/>
        </w:tabs>
        <w:snapToGrid w:val="0"/>
        <w:spacing w:line="360" w:lineRule="auto"/>
        <w:ind w:firstLine="482" w:firstLineChars="200"/>
        <w:jc w:val="left"/>
        <w:outlineLvl w:val="0"/>
        <w:rPr>
          <w:rFonts w:hint="eastAsia" w:ascii="宋体" w:hAnsi="宋体"/>
          <w:b/>
          <w:bCs/>
          <w:sz w:val="24"/>
          <w:szCs w:val="24"/>
        </w:rPr>
      </w:pPr>
      <w:r>
        <w:rPr>
          <w:rFonts w:hint="eastAsia" w:ascii="宋体" w:hAnsi="宋体"/>
          <w:b/>
          <w:bCs/>
          <w:sz w:val="24"/>
          <w:szCs w:val="24"/>
        </w:rPr>
        <w:t>2、租赁设备产品技术参数：</w:t>
      </w:r>
    </w:p>
    <w:p w14:paraId="49951213">
      <w:pPr>
        <w:spacing w:line="360" w:lineRule="auto"/>
        <w:ind w:firstLine="482" w:firstLineChars="200"/>
        <w:rPr>
          <w:rFonts w:hint="eastAsia" w:ascii="宋体" w:hAnsi="宋体"/>
          <w:b/>
          <w:bCs/>
          <w:sz w:val="24"/>
          <w:szCs w:val="24"/>
        </w:rPr>
      </w:pPr>
      <w:bookmarkStart w:id="53" w:name="_Hlk191284694"/>
      <w:r>
        <w:rPr>
          <w:rFonts w:hint="eastAsia" w:ascii="宋体" w:hAnsi="宋体"/>
          <w:b/>
          <w:bCs/>
          <w:sz w:val="24"/>
          <w:szCs w:val="24"/>
        </w:rPr>
        <w:t>（1）上网行为管理设备参数：</w:t>
      </w:r>
    </w:p>
    <w:p w14:paraId="76E33339">
      <w:pPr>
        <w:spacing w:line="360" w:lineRule="auto"/>
        <w:ind w:firstLine="480" w:firstLineChars="200"/>
        <w:rPr>
          <w:rFonts w:hint="eastAsia" w:ascii="宋体" w:hAnsi="宋体"/>
          <w:sz w:val="24"/>
          <w:szCs w:val="24"/>
        </w:rPr>
      </w:pPr>
    </w:p>
    <w:tbl>
      <w:tblPr>
        <w:tblStyle w:val="57"/>
        <w:tblW w:w="8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1"/>
        <w:gridCol w:w="7640"/>
      </w:tblGrid>
      <w:tr w14:paraId="05D2F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shd w:val="clear" w:color="auto" w:fill="auto"/>
            <w:vAlign w:val="center"/>
          </w:tcPr>
          <w:p w14:paraId="05310720">
            <w:pPr>
              <w:spacing w:line="360" w:lineRule="auto"/>
              <w:jc w:val="center"/>
              <w:rPr>
                <w:rFonts w:hint="eastAsia" w:ascii="宋体" w:hAnsi="宋体"/>
                <w:sz w:val="24"/>
                <w:szCs w:val="24"/>
              </w:rPr>
            </w:pPr>
            <w:r>
              <w:rPr>
                <w:rFonts w:hint="eastAsia" w:ascii="宋体" w:hAnsi="宋体"/>
                <w:sz w:val="24"/>
                <w:szCs w:val="24"/>
              </w:rPr>
              <w:t>指标项</w:t>
            </w:r>
          </w:p>
        </w:tc>
        <w:tc>
          <w:tcPr>
            <w:tcW w:w="4263" w:type="pct"/>
            <w:shd w:val="clear" w:color="auto" w:fill="auto"/>
            <w:vAlign w:val="bottom"/>
          </w:tcPr>
          <w:p w14:paraId="44EAFC04">
            <w:pPr>
              <w:spacing w:line="360" w:lineRule="auto"/>
              <w:ind w:firstLine="480" w:firstLineChars="200"/>
              <w:jc w:val="center"/>
              <w:rPr>
                <w:rFonts w:hint="eastAsia" w:ascii="宋体" w:hAnsi="宋体"/>
                <w:sz w:val="24"/>
                <w:szCs w:val="24"/>
              </w:rPr>
            </w:pPr>
            <w:r>
              <w:rPr>
                <w:rFonts w:hint="eastAsia" w:ascii="宋体" w:hAnsi="宋体"/>
                <w:sz w:val="24"/>
                <w:szCs w:val="24"/>
              </w:rPr>
              <w:t>详细参数</w:t>
            </w:r>
          </w:p>
        </w:tc>
      </w:tr>
      <w:tr w14:paraId="5769D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737" w:type="pct"/>
            <w:shd w:val="clear" w:color="auto" w:fill="auto"/>
            <w:vAlign w:val="center"/>
          </w:tcPr>
          <w:p w14:paraId="0884E9D9">
            <w:pPr>
              <w:spacing w:line="360" w:lineRule="auto"/>
              <w:rPr>
                <w:rFonts w:hint="eastAsia" w:ascii="宋体" w:hAnsi="宋体"/>
                <w:sz w:val="24"/>
                <w:szCs w:val="24"/>
              </w:rPr>
            </w:pPr>
            <w:r>
              <w:rPr>
                <w:rFonts w:hint="eastAsia" w:ascii="宋体" w:hAnsi="宋体"/>
                <w:sz w:val="24"/>
                <w:szCs w:val="24"/>
              </w:rPr>
              <w:t>基本要求</w:t>
            </w:r>
          </w:p>
        </w:tc>
        <w:tc>
          <w:tcPr>
            <w:tcW w:w="4263" w:type="pct"/>
            <w:shd w:val="clear" w:color="auto" w:fill="auto"/>
            <w:vAlign w:val="bottom"/>
          </w:tcPr>
          <w:p w14:paraId="6E0BD7FC">
            <w:pPr>
              <w:spacing w:line="360" w:lineRule="auto"/>
              <w:ind w:firstLine="480" w:firstLineChars="200"/>
              <w:rPr>
                <w:rFonts w:hint="eastAsia" w:ascii="宋体" w:hAnsi="宋体"/>
                <w:sz w:val="24"/>
                <w:szCs w:val="24"/>
              </w:rPr>
            </w:pPr>
            <w:r>
              <w:rPr>
                <w:rFonts w:hint="eastAsia" w:ascii="宋体" w:hAnsi="宋体"/>
                <w:sz w:val="24"/>
                <w:szCs w:val="24"/>
              </w:rPr>
              <w:t>★采用国产化软硬件一体、标准机架式设备，硬件设备内存≥8G，硬盘容量≥960G，接口≥6千兆电口，包含</w:t>
            </w:r>
            <w:r>
              <w:rPr>
                <w:rFonts w:hint="eastAsia" w:ascii="宋体" w:hAnsi="宋体" w:cs="Courier New"/>
                <w:kern w:val="0"/>
                <w:sz w:val="24"/>
                <w:szCs w:val="24"/>
              </w:rPr>
              <w:t>行为管理系统软件URL&amp;应用识别规则库一年升级服务</w:t>
            </w:r>
            <w:r>
              <w:rPr>
                <w:rFonts w:hint="eastAsia" w:ascii="宋体" w:hAnsi="宋体"/>
                <w:sz w:val="24"/>
                <w:szCs w:val="24"/>
              </w:rPr>
              <w:t xml:space="preserve">。 </w:t>
            </w:r>
          </w:p>
        </w:tc>
      </w:tr>
      <w:tr w14:paraId="0F197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737" w:type="pct"/>
            <w:shd w:val="clear" w:color="auto" w:fill="auto"/>
            <w:vAlign w:val="center"/>
          </w:tcPr>
          <w:p w14:paraId="12F244BE">
            <w:pPr>
              <w:spacing w:line="360" w:lineRule="auto"/>
              <w:jc w:val="center"/>
              <w:rPr>
                <w:rFonts w:hint="eastAsia" w:ascii="宋体" w:hAnsi="宋体"/>
                <w:sz w:val="24"/>
                <w:szCs w:val="24"/>
              </w:rPr>
            </w:pPr>
            <w:r>
              <w:rPr>
                <w:rFonts w:hint="eastAsia" w:ascii="宋体" w:hAnsi="宋体"/>
                <w:sz w:val="24"/>
                <w:szCs w:val="24"/>
              </w:rPr>
              <w:t>性能要求</w:t>
            </w:r>
          </w:p>
        </w:tc>
        <w:tc>
          <w:tcPr>
            <w:tcW w:w="4263" w:type="pct"/>
            <w:shd w:val="clear" w:color="auto" w:fill="auto"/>
            <w:vAlign w:val="bottom"/>
          </w:tcPr>
          <w:p w14:paraId="7343E79D">
            <w:pPr>
              <w:spacing w:line="360" w:lineRule="auto"/>
              <w:ind w:firstLine="480" w:firstLineChars="200"/>
              <w:rPr>
                <w:rFonts w:hint="eastAsia" w:ascii="宋体" w:hAnsi="宋体"/>
                <w:sz w:val="24"/>
                <w:szCs w:val="24"/>
              </w:rPr>
            </w:pPr>
            <w:r>
              <w:rPr>
                <w:rFonts w:hint="eastAsia" w:ascii="宋体" w:hAnsi="宋体"/>
                <w:sz w:val="24"/>
                <w:szCs w:val="24"/>
              </w:rPr>
              <w:t>★网络层吞吐量≥8G，应用层吞吐量≥1.1G,带宽性能≥750M，支持用户数≥5000，每秒新建连接数≥12000，最大并发连接数≥500000。</w:t>
            </w:r>
          </w:p>
        </w:tc>
      </w:tr>
      <w:tr w14:paraId="3E086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shd w:val="clear" w:color="auto" w:fill="auto"/>
            <w:vAlign w:val="center"/>
          </w:tcPr>
          <w:p w14:paraId="5E7F9D0F">
            <w:pPr>
              <w:spacing w:line="360" w:lineRule="auto"/>
              <w:jc w:val="center"/>
              <w:rPr>
                <w:rFonts w:hint="eastAsia" w:ascii="宋体" w:hAnsi="宋体"/>
                <w:sz w:val="24"/>
                <w:szCs w:val="24"/>
              </w:rPr>
            </w:pPr>
            <w:r>
              <w:rPr>
                <w:rFonts w:hint="eastAsia" w:ascii="宋体" w:hAnsi="宋体"/>
                <w:sz w:val="24"/>
                <w:szCs w:val="24"/>
              </w:rPr>
              <w:t>部署方式</w:t>
            </w:r>
          </w:p>
        </w:tc>
        <w:tc>
          <w:tcPr>
            <w:tcW w:w="4263" w:type="pct"/>
            <w:shd w:val="clear" w:color="auto" w:fill="auto"/>
            <w:vAlign w:val="bottom"/>
          </w:tcPr>
          <w:p w14:paraId="60B9413B">
            <w:pPr>
              <w:spacing w:line="360" w:lineRule="auto"/>
              <w:ind w:firstLine="480" w:firstLineChars="200"/>
              <w:rPr>
                <w:rFonts w:hint="eastAsia" w:ascii="宋体" w:hAnsi="宋体"/>
                <w:sz w:val="24"/>
                <w:szCs w:val="24"/>
              </w:rPr>
            </w:pPr>
            <w:r>
              <w:rPr>
                <w:rFonts w:hint="eastAsia" w:ascii="宋体" w:hAnsi="宋体"/>
                <w:sz w:val="24"/>
                <w:szCs w:val="24"/>
              </w:rPr>
              <w:t>支持网关模式，网桥模式，旁路模式等多种部署模式。</w:t>
            </w:r>
          </w:p>
        </w:tc>
      </w:tr>
      <w:tr w14:paraId="24008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737" w:type="pct"/>
            <w:vMerge w:val="continue"/>
            <w:vAlign w:val="center"/>
          </w:tcPr>
          <w:p w14:paraId="644FEFD1">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69B01AC9">
            <w:pPr>
              <w:spacing w:line="360" w:lineRule="auto"/>
              <w:ind w:firstLine="480" w:firstLineChars="200"/>
              <w:rPr>
                <w:rFonts w:hint="eastAsia" w:ascii="宋体" w:hAnsi="宋体"/>
                <w:sz w:val="24"/>
                <w:szCs w:val="24"/>
              </w:rPr>
            </w:pPr>
            <w:r>
              <w:rPr>
                <w:rFonts w:hint="eastAsia" w:ascii="宋体" w:hAnsi="宋体"/>
                <w:sz w:val="24"/>
                <w:szCs w:val="24"/>
              </w:rPr>
              <w:t>支持部署在IPv6环境中，设备接口及部署模式均支持ipv6配置，所有核心功能（上网认证、应用控制、流量控制、内容审计、日志报表等）都支持IPv6。</w:t>
            </w:r>
          </w:p>
        </w:tc>
      </w:tr>
      <w:tr w14:paraId="01FEC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37" w:type="pct"/>
            <w:shd w:val="clear" w:color="auto" w:fill="auto"/>
            <w:vAlign w:val="center"/>
          </w:tcPr>
          <w:p w14:paraId="4334FBDF">
            <w:pPr>
              <w:spacing w:line="360" w:lineRule="auto"/>
              <w:jc w:val="center"/>
              <w:rPr>
                <w:rFonts w:hint="eastAsia" w:ascii="宋体" w:hAnsi="宋体"/>
                <w:sz w:val="24"/>
                <w:szCs w:val="24"/>
              </w:rPr>
            </w:pPr>
            <w:r>
              <w:rPr>
                <w:rFonts w:hint="eastAsia" w:ascii="宋体" w:hAnsi="宋体"/>
                <w:sz w:val="24"/>
                <w:szCs w:val="24"/>
              </w:rPr>
              <w:t>系统管理</w:t>
            </w:r>
          </w:p>
        </w:tc>
        <w:tc>
          <w:tcPr>
            <w:tcW w:w="4263" w:type="pct"/>
            <w:shd w:val="clear" w:color="auto" w:fill="auto"/>
            <w:vAlign w:val="bottom"/>
          </w:tcPr>
          <w:p w14:paraId="62AF8143">
            <w:pPr>
              <w:spacing w:line="360" w:lineRule="auto"/>
              <w:ind w:firstLine="480" w:firstLineChars="200"/>
              <w:rPr>
                <w:rFonts w:hint="eastAsia" w:ascii="宋体" w:hAnsi="宋体"/>
                <w:sz w:val="24"/>
                <w:szCs w:val="24"/>
              </w:rPr>
            </w:pPr>
            <w:r>
              <w:rPr>
                <w:rFonts w:hint="eastAsia" w:ascii="宋体" w:hAnsi="宋体"/>
                <w:sz w:val="24"/>
                <w:szCs w:val="24"/>
              </w:rPr>
              <w:t>支持攻击告警、移动终端管理告警、风险终端发现告警、web关键字过滤告警、杀毒告警、设备流量超限告警、磁盘/CPU/内存异常告警等。</w:t>
            </w:r>
          </w:p>
        </w:tc>
      </w:tr>
      <w:tr w14:paraId="43E54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shd w:val="clear" w:color="auto" w:fill="auto"/>
            <w:vAlign w:val="center"/>
          </w:tcPr>
          <w:p w14:paraId="27007F78">
            <w:pPr>
              <w:spacing w:line="360" w:lineRule="auto"/>
              <w:jc w:val="center"/>
              <w:rPr>
                <w:rFonts w:hint="eastAsia" w:ascii="宋体" w:hAnsi="宋体"/>
                <w:sz w:val="24"/>
                <w:szCs w:val="24"/>
              </w:rPr>
            </w:pPr>
            <w:r>
              <w:rPr>
                <w:rFonts w:hint="eastAsia" w:ascii="宋体" w:hAnsi="宋体"/>
                <w:sz w:val="24"/>
                <w:szCs w:val="24"/>
              </w:rPr>
              <w:t>实时监控</w:t>
            </w:r>
          </w:p>
        </w:tc>
        <w:tc>
          <w:tcPr>
            <w:tcW w:w="4263" w:type="pct"/>
            <w:shd w:val="clear" w:color="auto" w:fill="auto"/>
            <w:vAlign w:val="bottom"/>
          </w:tcPr>
          <w:p w14:paraId="5926E327">
            <w:pPr>
              <w:spacing w:line="360" w:lineRule="auto"/>
              <w:ind w:firstLine="480" w:firstLineChars="200"/>
              <w:rPr>
                <w:rFonts w:hint="eastAsia" w:ascii="宋体" w:hAnsi="宋体"/>
                <w:sz w:val="24"/>
                <w:szCs w:val="24"/>
              </w:rPr>
            </w:pPr>
            <w:r>
              <w:rPr>
                <w:rFonts w:hint="eastAsia" w:ascii="宋体" w:hAnsi="宋体"/>
                <w:sz w:val="24"/>
                <w:szCs w:val="24"/>
              </w:rPr>
              <w:t>支持首页分析显示接入用户人数、终端类型；带宽质量分析、实时流量排名；泄密风险、违规访问、共享上网等行为风险情况。</w:t>
            </w:r>
          </w:p>
        </w:tc>
      </w:tr>
      <w:tr w14:paraId="5E8F0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737" w:type="pct"/>
            <w:vMerge w:val="continue"/>
            <w:vAlign w:val="center"/>
          </w:tcPr>
          <w:p w14:paraId="4DFD8E60">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134BD09E">
            <w:pPr>
              <w:spacing w:line="360" w:lineRule="auto"/>
              <w:ind w:firstLine="480" w:firstLineChars="200"/>
              <w:rPr>
                <w:rFonts w:hint="eastAsia" w:ascii="宋体" w:hAnsi="宋体"/>
                <w:sz w:val="24"/>
                <w:szCs w:val="24"/>
              </w:rPr>
            </w:pPr>
            <w:r>
              <w:rPr>
                <w:rFonts w:hint="eastAsia" w:ascii="宋体" w:hAnsi="宋体"/>
                <w:sz w:val="24"/>
                <w:szCs w:val="24"/>
              </w:rPr>
              <w:t>支持查看当前设备的线路状态，线路带宽利用率以及当前策略的引流流量分布和实时的引流策略，支持设置线路流控策略。</w:t>
            </w:r>
          </w:p>
        </w:tc>
      </w:tr>
      <w:tr w14:paraId="03CB6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shd w:val="clear" w:color="auto" w:fill="auto"/>
            <w:vAlign w:val="center"/>
          </w:tcPr>
          <w:p w14:paraId="30C3849F">
            <w:pPr>
              <w:spacing w:line="360" w:lineRule="auto"/>
              <w:jc w:val="center"/>
              <w:rPr>
                <w:rFonts w:hint="eastAsia" w:ascii="宋体" w:hAnsi="宋体"/>
                <w:sz w:val="24"/>
                <w:szCs w:val="24"/>
              </w:rPr>
            </w:pPr>
            <w:r>
              <w:rPr>
                <w:rFonts w:hint="eastAsia" w:ascii="宋体" w:hAnsi="宋体"/>
                <w:sz w:val="24"/>
                <w:szCs w:val="24"/>
              </w:rPr>
              <w:t>认证方式</w:t>
            </w:r>
          </w:p>
        </w:tc>
        <w:tc>
          <w:tcPr>
            <w:tcW w:w="4263" w:type="pct"/>
            <w:shd w:val="clear" w:color="auto" w:fill="auto"/>
            <w:vAlign w:val="bottom"/>
          </w:tcPr>
          <w:p w14:paraId="57C38B7F">
            <w:pPr>
              <w:spacing w:line="360" w:lineRule="auto"/>
              <w:ind w:firstLine="480" w:firstLineChars="200"/>
              <w:rPr>
                <w:rFonts w:hint="eastAsia" w:ascii="宋体" w:hAnsi="宋体"/>
                <w:sz w:val="24"/>
                <w:szCs w:val="24"/>
              </w:rPr>
            </w:pPr>
            <w:r>
              <w:rPr>
                <w:rFonts w:hint="eastAsia" w:ascii="宋体" w:hAnsi="宋体"/>
                <w:sz w:val="24"/>
                <w:szCs w:val="24"/>
              </w:rPr>
              <w:t>支持冻结认证失败次数超过最大值的用户，在冻结时间结束后恢复登录。</w:t>
            </w:r>
          </w:p>
        </w:tc>
      </w:tr>
      <w:tr w14:paraId="49F80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continue"/>
            <w:vAlign w:val="center"/>
          </w:tcPr>
          <w:p w14:paraId="2D7F1B0B">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003D47CC">
            <w:pPr>
              <w:spacing w:line="360" w:lineRule="auto"/>
              <w:ind w:firstLine="480" w:firstLineChars="200"/>
              <w:rPr>
                <w:rFonts w:hint="eastAsia" w:ascii="宋体" w:hAnsi="宋体"/>
                <w:sz w:val="24"/>
                <w:szCs w:val="24"/>
              </w:rPr>
            </w:pPr>
            <w:r>
              <w:rPr>
                <w:rFonts w:hint="eastAsia" w:ascii="宋体" w:hAnsi="宋体"/>
                <w:sz w:val="24"/>
                <w:szCs w:val="24"/>
              </w:rPr>
              <w:t>限制某个新用户只能在某个IP段、MAC段范围内登录。</w:t>
            </w:r>
          </w:p>
        </w:tc>
      </w:tr>
      <w:tr w14:paraId="65F29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37" w:type="pct"/>
            <w:vMerge w:val="continue"/>
            <w:vAlign w:val="center"/>
          </w:tcPr>
          <w:p w14:paraId="4AFA8F2D">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0953911C">
            <w:pPr>
              <w:spacing w:line="360" w:lineRule="auto"/>
              <w:ind w:firstLine="480" w:firstLineChars="200"/>
              <w:rPr>
                <w:rFonts w:hint="eastAsia" w:ascii="宋体" w:hAnsi="宋体"/>
                <w:sz w:val="24"/>
                <w:szCs w:val="24"/>
              </w:rPr>
            </w:pPr>
            <w:r>
              <w:rPr>
                <w:rFonts w:hint="eastAsia" w:ascii="宋体" w:hAnsi="宋体"/>
                <w:sz w:val="24"/>
                <w:szCs w:val="24"/>
              </w:rPr>
              <w:t>支持自动注销指定时间内无流量的已认证用户。</w:t>
            </w:r>
          </w:p>
        </w:tc>
      </w:tr>
      <w:tr w14:paraId="642BB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7" w:type="pct"/>
            <w:vMerge w:val="restart"/>
            <w:shd w:val="clear" w:color="auto" w:fill="auto"/>
            <w:vAlign w:val="center"/>
          </w:tcPr>
          <w:p w14:paraId="26B9F2ED">
            <w:pPr>
              <w:spacing w:line="360" w:lineRule="auto"/>
              <w:jc w:val="center"/>
              <w:rPr>
                <w:rFonts w:hint="eastAsia" w:ascii="宋体" w:hAnsi="宋体"/>
                <w:sz w:val="24"/>
                <w:szCs w:val="24"/>
              </w:rPr>
            </w:pPr>
            <w:r>
              <w:rPr>
                <w:rFonts w:hint="eastAsia" w:ascii="宋体" w:hAnsi="宋体"/>
                <w:sz w:val="24"/>
                <w:szCs w:val="24"/>
              </w:rPr>
              <w:t>应用管理</w:t>
            </w:r>
          </w:p>
        </w:tc>
        <w:tc>
          <w:tcPr>
            <w:tcW w:w="4263" w:type="pct"/>
            <w:shd w:val="clear" w:color="auto" w:fill="auto"/>
            <w:vAlign w:val="bottom"/>
          </w:tcPr>
          <w:p w14:paraId="46A9338E">
            <w:pPr>
              <w:spacing w:line="360" w:lineRule="auto"/>
              <w:ind w:firstLine="480" w:firstLineChars="200"/>
              <w:rPr>
                <w:rFonts w:hint="eastAsia" w:ascii="宋体" w:hAnsi="宋体"/>
                <w:sz w:val="24"/>
                <w:szCs w:val="24"/>
              </w:rPr>
            </w:pPr>
            <w:r>
              <w:rPr>
                <w:rFonts w:hint="eastAsia" w:ascii="宋体" w:hAnsi="宋体"/>
                <w:sz w:val="24"/>
                <w:szCs w:val="24"/>
              </w:rPr>
              <w:t>▲支持≥900种主流Saas应用，对Saas应用有默认分类标签，帮助客户统一配置策略（磋商响应时需提供产品功能截图）。</w:t>
            </w:r>
          </w:p>
        </w:tc>
      </w:tr>
      <w:tr w14:paraId="5794C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7" w:type="pct"/>
            <w:vMerge w:val="continue"/>
            <w:shd w:val="clear" w:color="auto" w:fill="auto"/>
            <w:vAlign w:val="center"/>
          </w:tcPr>
          <w:p w14:paraId="7C19B60C">
            <w:pPr>
              <w:spacing w:line="360" w:lineRule="auto"/>
              <w:ind w:firstLine="480" w:firstLineChars="200"/>
              <w:rPr>
                <w:rFonts w:hint="eastAsia" w:ascii="宋体" w:hAnsi="宋体"/>
                <w:sz w:val="24"/>
                <w:szCs w:val="24"/>
              </w:rPr>
            </w:pPr>
          </w:p>
        </w:tc>
        <w:tc>
          <w:tcPr>
            <w:tcW w:w="4263" w:type="pct"/>
            <w:shd w:val="clear" w:color="auto" w:fill="auto"/>
            <w:vAlign w:val="bottom"/>
          </w:tcPr>
          <w:p w14:paraId="0169EC24">
            <w:pPr>
              <w:spacing w:line="360" w:lineRule="auto"/>
              <w:ind w:firstLine="480" w:firstLineChars="200"/>
              <w:rPr>
                <w:rFonts w:hint="eastAsia" w:ascii="宋体" w:hAnsi="宋体"/>
                <w:sz w:val="24"/>
                <w:szCs w:val="24"/>
              </w:rPr>
            </w:pPr>
            <w:r>
              <w:rPr>
                <w:rFonts w:hint="eastAsia" w:ascii="宋体" w:hAnsi="宋体"/>
                <w:sz w:val="24"/>
                <w:szCs w:val="24"/>
              </w:rPr>
              <w:t>▲设备内置应用识别规则库，支持≥9000条应用规则数、支持≥6000种以上的应用；支持根据标签选择应用，并支持给每个应用自定义标签；支持根据标签选择一类应用做控制（磋商响应时需提供产品功能截图）。</w:t>
            </w:r>
          </w:p>
        </w:tc>
      </w:tr>
      <w:tr w14:paraId="0C163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shd w:val="clear" w:color="auto" w:fill="auto"/>
            <w:vAlign w:val="center"/>
          </w:tcPr>
          <w:p w14:paraId="0160B7A5">
            <w:pPr>
              <w:spacing w:line="360" w:lineRule="auto"/>
              <w:jc w:val="center"/>
              <w:rPr>
                <w:rFonts w:hint="eastAsia" w:ascii="宋体" w:hAnsi="宋体"/>
                <w:sz w:val="24"/>
                <w:szCs w:val="24"/>
              </w:rPr>
            </w:pPr>
            <w:r>
              <w:rPr>
                <w:rFonts w:hint="eastAsia" w:ascii="宋体" w:hAnsi="宋体"/>
                <w:sz w:val="24"/>
                <w:szCs w:val="24"/>
              </w:rPr>
              <w:t>网页审计</w:t>
            </w:r>
          </w:p>
        </w:tc>
        <w:tc>
          <w:tcPr>
            <w:tcW w:w="4263" w:type="pct"/>
            <w:shd w:val="clear" w:color="auto" w:fill="auto"/>
            <w:vAlign w:val="bottom"/>
          </w:tcPr>
          <w:p w14:paraId="7671F022">
            <w:pPr>
              <w:spacing w:line="360" w:lineRule="auto"/>
              <w:ind w:firstLine="480" w:firstLineChars="200"/>
              <w:rPr>
                <w:rFonts w:hint="eastAsia" w:ascii="宋体" w:hAnsi="宋体"/>
                <w:sz w:val="24"/>
                <w:szCs w:val="24"/>
              </w:rPr>
            </w:pPr>
            <w:r>
              <w:rPr>
                <w:rFonts w:hint="eastAsia" w:ascii="宋体" w:hAnsi="宋体"/>
                <w:sz w:val="24"/>
                <w:szCs w:val="24"/>
              </w:rPr>
              <w:t>审计SSL网页时，支持加密证书自动分发功能，用户点击网页上的工具即可一次性安装完成。</w:t>
            </w:r>
          </w:p>
        </w:tc>
      </w:tr>
      <w:tr w14:paraId="620ED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7" w:type="pct"/>
            <w:vMerge w:val="continue"/>
            <w:vAlign w:val="center"/>
          </w:tcPr>
          <w:p w14:paraId="4B04AE3D">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0D9D2E88">
            <w:pPr>
              <w:spacing w:line="360" w:lineRule="auto"/>
              <w:ind w:firstLine="480" w:firstLineChars="200"/>
              <w:rPr>
                <w:rFonts w:hint="eastAsia" w:ascii="宋体" w:hAnsi="宋体"/>
                <w:sz w:val="24"/>
                <w:szCs w:val="24"/>
              </w:rPr>
            </w:pPr>
            <w:r>
              <w:rPr>
                <w:rFonts w:hint="eastAsia" w:ascii="宋体" w:hAnsi="宋体"/>
                <w:sz w:val="24"/>
                <w:szCs w:val="24"/>
              </w:rPr>
              <w:t>▲支持客户端SSL解密，客户端会自动推送根证书安装（磋商响应时需提供产品功能截图）。</w:t>
            </w:r>
          </w:p>
        </w:tc>
      </w:tr>
      <w:tr w14:paraId="19BA5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737" w:type="pct"/>
            <w:vMerge w:val="continue"/>
            <w:vAlign w:val="center"/>
          </w:tcPr>
          <w:p w14:paraId="6F922EDA">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561C60CC">
            <w:pPr>
              <w:spacing w:line="360" w:lineRule="auto"/>
              <w:ind w:firstLine="480" w:firstLineChars="200"/>
              <w:rPr>
                <w:rFonts w:hint="eastAsia" w:ascii="宋体" w:hAnsi="宋体"/>
                <w:sz w:val="24"/>
                <w:szCs w:val="24"/>
              </w:rPr>
            </w:pPr>
            <w:r>
              <w:rPr>
                <w:rFonts w:hint="eastAsia" w:ascii="宋体" w:hAnsi="宋体"/>
                <w:sz w:val="24"/>
                <w:szCs w:val="24"/>
              </w:rPr>
              <w:t>支持查询和导出基于指定时间段/用户/用户组的文件审计、邮件收发、访问网站、即时通讯、发帖/微博、搜索关键字等详细用户行为的报表。</w:t>
            </w:r>
          </w:p>
        </w:tc>
      </w:tr>
      <w:tr w14:paraId="16B57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shd w:val="clear" w:color="auto" w:fill="auto"/>
            <w:vAlign w:val="center"/>
          </w:tcPr>
          <w:p w14:paraId="1CEEE4B5">
            <w:pPr>
              <w:spacing w:line="360" w:lineRule="auto"/>
              <w:jc w:val="center"/>
              <w:rPr>
                <w:rFonts w:hint="eastAsia" w:ascii="宋体" w:hAnsi="宋体"/>
                <w:sz w:val="24"/>
                <w:szCs w:val="24"/>
              </w:rPr>
            </w:pPr>
            <w:r>
              <w:rPr>
                <w:rFonts w:hint="eastAsia" w:ascii="宋体" w:hAnsi="宋体"/>
                <w:sz w:val="24"/>
                <w:szCs w:val="24"/>
              </w:rPr>
              <w:t>邮件管理</w:t>
            </w:r>
          </w:p>
        </w:tc>
        <w:tc>
          <w:tcPr>
            <w:tcW w:w="4263" w:type="pct"/>
            <w:shd w:val="clear" w:color="auto" w:fill="auto"/>
            <w:vAlign w:val="bottom"/>
          </w:tcPr>
          <w:p w14:paraId="13C8BADD">
            <w:pPr>
              <w:spacing w:line="360" w:lineRule="auto"/>
              <w:ind w:firstLine="480" w:firstLineChars="200"/>
              <w:rPr>
                <w:rFonts w:hint="eastAsia" w:ascii="宋体" w:hAnsi="宋体"/>
                <w:sz w:val="24"/>
                <w:szCs w:val="24"/>
              </w:rPr>
            </w:pPr>
            <w:r>
              <w:rPr>
                <w:rFonts w:hint="eastAsia" w:ascii="宋体" w:hAnsi="宋体"/>
                <w:sz w:val="24"/>
                <w:szCs w:val="24"/>
              </w:rPr>
              <w:t>支持根据源地址和目的地址过滤外发邮件；必须支持https网页全解密和按网站类别分类进行解密配置。</w:t>
            </w:r>
          </w:p>
        </w:tc>
      </w:tr>
      <w:tr w14:paraId="57E9F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continue"/>
            <w:vAlign w:val="center"/>
          </w:tcPr>
          <w:p w14:paraId="49EBC88D">
            <w:pPr>
              <w:spacing w:line="360" w:lineRule="auto"/>
              <w:ind w:firstLine="480" w:firstLineChars="200"/>
              <w:jc w:val="center"/>
              <w:rPr>
                <w:rFonts w:hint="eastAsia" w:ascii="宋体" w:hAnsi="宋体"/>
                <w:sz w:val="24"/>
                <w:szCs w:val="24"/>
              </w:rPr>
            </w:pPr>
          </w:p>
        </w:tc>
        <w:tc>
          <w:tcPr>
            <w:tcW w:w="4263" w:type="pct"/>
            <w:shd w:val="clear" w:color="auto" w:fill="auto"/>
            <w:vAlign w:val="bottom"/>
          </w:tcPr>
          <w:p w14:paraId="7579ACE0">
            <w:pPr>
              <w:spacing w:line="360" w:lineRule="auto"/>
              <w:ind w:firstLine="480" w:firstLineChars="200"/>
              <w:rPr>
                <w:rFonts w:hint="eastAsia" w:ascii="宋体" w:hAnsi="宋体"/>
                <w:sz w:val="24"/>
                <w:szCs w:val="24"/>
              </w:rPr>
            </w:pPr>
            <w:r>
              <w:rPr>
                <w:rFonts w:hint="eastAsia" w:ascii="宋体" w:hAnsi="宋体"/>
                <w:sz w:val="24"/>
                <w:szCs w:val="24"/>
              </w:rPr>
              <w:t>支持允许用户登录Webmail收邮件，而禁止发送Webmail邮件的功能。</w:t>
            </w:r>
          </w:p>
        </w:tc>
      </w:tr>
      <w:tr w14:paraId="35D27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37" w:type="pct"/>
            <w:vMerge w:val="restart"/>
            <w:shd w:val="clear" w:color="auto" w:fill="auto"/>
            <w:vAlign w:val="center"/>
          </w:tcPr>
          <w:p w14:paraId="46B09430">
            <w:pPr>
              <w:spacing w:line="360" w:lineRule="auto"/>
              <w:jc w:val="center"/>
              <w:rPr>
                <w:rFonts w:hint="eastAsia" w:ascii="宋体" w:hAnsi="宋体"/>
                <w:sz w:val="24"/>
                <w:szCs w:val="24"/>
              </w:rPr>
            </w:pPr>
            <w:r>
              <w:rPr>
                <w:rFonts w:hint="eastAsia" w:ascii="宋体" w:hAnsi="宋体"/>
                <w:sz w:val="24"/>
                <w:szCs w:val="24"/>
              </w:rPr>
              <w:t>流量管理</w:t>
            </w:r>
          </w:p>
        </w:tc>
        <w:tc>
          <w:tcPr>
            <w:tcW w:w="4263" w:type="pct"/>
            <w:shd w:val="clear" w:color="auto" w:fill="auto"/>
            <w:vAlign w:val="bottom"/>
          </w:tcPr>
          <w:p w14:paraId="7F31D558">
            <w:pPr>
              <w:spacing w:line="360" w:lineRule="auto"/>
              <w:ind w:firstLine="480" w:firstLineChars="200"/>
              <w:rPr>
                <w:rFonts w:hint="eastAsia" w:ascii="宋体" w:hAnsi="宋体"/>
                <w:sz w:val="24"/>
                <w:szCs w:val="24"/>
              </w:rPr>
            </w:pPr>
            <w:r>
              <w:rPr>
                <w:rFonts w:hint="eastAsia" w:ascii="宋体" w:hAnsi="宋体"/>
                <w:sz w:val="24"/>
                <w:szCs w:val="24"/>
              </w:rPr>
              <w:t>支持在设置流量策略后，根据整体线路或者某流量通道内的空闲情况，自动启用和停止使用流量控制策略，以提升带宽的高使用率；空闲值可自定义。</w:t>
            </w:r>
          </w:p>
        </w:tc>
      </w:tr>
      <w:tr w14:paraId="3DEEA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continue"/>
            <w:vAlign w:val="center"/>
          </w:tcPr>
          <w:p w14:paraId="673837D6">
            <w:pPr>
              <w:spacing w:line="360" w:lineRule="auto"/>
              <w:ind w:firstLine="480" w:firstLineChars="200"/>
              <w:rPr>
                <w:rFonts w:hint="eastAsia" w:ascii="宋体" w:hAnsi="宋体"/>
                <w:sz w:val="24"/>
                <w:szCs w:val="24"/>
              </w:rPr>
            </w:pPr>
          </w:p>
        </w:tc>
        <w:tc>
          <w:tcPr>
            <w:tcW w:w="4263" w:type="pct"/>
            <w:shd w:val="clear" w:color="auto" w:fill="auto"/>
            <w:vAlign w:val="bottom"/>
          </w:tcPr>
          <w:p w14:paraId="72C30047">
            <w:pPr>
              <w:spacing w:line="360" w:lineRule="auto"/>
              <w:ind w:firstLine="480" w:firstLineChars="200"/>
              <w:rPr>
                <w:rFonts w:hint="eastAsia" w:ascii="宋体" w:hAnsi="宋体"/>
                <w:sz w:val="24"/>
                <w:szCs w:val="24"/>
              </w:rPr>
            </w:pPr>
            <w:r>
              <w:rPr>
                <w:rFonts w:hint="eastAsia" w:ascii="宋体" w:hAnsi="宋体"/>
                <w:sz w:val="24"/>
                <w:szCs w:val="24"/>
              </w:rPr>
              <w:t>▲支持通过抑制P2P的下行丢包，来减缓P2P的下行流量，从而解决网络出口在做流控后仍然压力较大的问题（磋商响应时需提供产品功能截图）。</w:t>
            </w:r>
          </w:p>
        </w:tc>
      </w:tr>
      <w:tr w14:paraId="211F7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737" w:type="pct"/>
            <w:vMerge w:val="continue"/>
            <w:vAlign w:val="center"/>
          </w:tcPr>
          <w:p w14:paraId="079A7970">
            <w:pPr>
              <w:spacing w:line="360" w:lineRule="auto"/>
              <w:ind w:firstLine="480" w:firstLineChars="200"/>
              <w:rPr>
                <w:rFonts w:hint="eastAsia" w:ascii="宋体" w:hAnsi="宋体"/>
                <w:sz w:val="24"/>
                <w:szCs w:val="24"/>
              </w:rPr>
            </w:pPr>
          </w:p>
        </w:tc>
        <w:tc>
          <w:tcPr>
            <w:tcW w:w="4263" w:type="pct"/>
            <w:shd w:val="clear" w:color="auto" w:fill="auto"/>
            <w:vAlign w:val="bottom"/>
          </w:tcPr>
          <w:p w14:paraId="4C3179EE">
            <w:pPr>
              <w:spacing w:line="360" w:lineRule="auto"/>
              <w:ind w:firstLine="480" w:firstLineChars="200"/>
              <w:rPr>
                <w:rFonts w:hint="eastAsia" w:ascii="宋体" w:hAnsi="宋体"/>
                <w:sz w:val="24"/>
                <w:szCs w:val="24"/>
              </w:rPr>
            </w:pPr>
            <w:r>
              <w:rPr>
                <w:rFonts w:hint="eastAsia" w:ascii="宋体" w:hAnsi="宋体"/>
                <w:sz w:val="24"/>
                <w:szCs w:val="24"/>
              </w:rPr>
              <w:t>能够实时看到各级流控通道的状态：包括所属线路、瞬时速率、通道占用比例、用户数、保证带宽、最大带宽、优先级，启用状态等。</w:t>
            </w:r>
          </w:p>
        </w:tc>
      </w:tr>
    </w:tbl>
    <w:p w14:paraId="4FB6CE0F">
      <w:pPr>
        <w:spacing w:line="360" w:lineRule="auto"/>
        <w:ind w:firstLine="480" w:firstLineChars="200"/>
        <w:rPr>
          <w:rFonts w:hint="eastAsia" w:ascii="宋体" w:hAnsi="宋体"/>
          <w:sz w:val="24"/>
          <w:szCs w:val="24"/>
        </w:rPr>
      </w:pPr>
    </w:p>
    <w:p w14:paraId="330BE925">
      <w:pPr>
        <w:spacing w:line="360" w:lineRule="auto"/>
        <w:ind w:firstLine="482" w:firstLineChars="200"/>
        <w:rPr>
          <w:rFonts w:hint="eastAsia" w:ascii="宋体" w:hAnsi="宋体"/>
          <w:b/>
          <w:bCs/>
          <w:sz w:val="24"/>
          <w:szCs w:val="24"/>
        </w:rPr>
      </w:pPr>
      <w:r>
        <w:rPr>
          <w:rFonts w:hint="eastAsia" w:ascii="宋体" w:hAnsi="宋体"/>
          <w:b/>
          <w:bCs/>
          <w:sz w:val="24"/>
          <w:szCs w:val="24"/>
        </w:rPr>
        <w:t>（2）零信任综合网关设备参数：</w:t>
      </w:r>
    </w:p>
    <w:tbl>
      <w:tblPr>
        <w:tblStyle w:val="5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Layout w:type="autofit"/>
        <w:tblCellMar>
          <w:top w:w="0" w:type="dxa"/>
          <w:left w:w="108" w:type="dxa"/>
          <w:bottom w:w="0" w:type="dxa"/>
          <w:right w:w="108" w:type="dxa"/>
        </w:tblCellMar>
      </w:tblPr>
      <w:tblGrid>
        <w:gridCol w:w="1309"/>
        <w:gridCol w:w="7219"/>
      </w:tblGrid>
      <w:tr w14:paraId="4BE70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6AFC0628">
            <w:pPr>
              <w:spacing w:line="360" w:lineRule="auto"/>
              <w:jc w:val="center"/>
              <w:rPr>
                <w:rFonts w:hint="eastAsia" w:ascii="宋体" w:hAnsi="宋体"/>
                <w:sz w:val="24"/>
                <w:szCs w:val="24"/>
              </w:rPr>
            </w:pPr>
            <w:r>
              <w:rPr>
                <w:rFonts w:hint="eastAsia" w:ascii="宋体" w:hAnsi="宋体"/>
                <w:sz w:val="24"/>
                <w:szCs w:val="24"/>
              </w:rPr>
              <w:t>指标项</w:t>
            </w:r>
          </w:p>
        </w:tc>
        <w:tc>
          <w:tcPr>
            <w:tcW w:w="7647" w:type="dxa"/>
            <w:shd w:val="clear" w:color="auto" w:fill="FFFFFF"/>
            <w:vAlign w:val="bottom"/>
          </w:tcPr>
          <w:p w14:paraId="618524F0">
            <w:pPr>
              <w:spacing w:line="360" w:lineRule="auto"/>
              <w:ind w:firstLine="480" w:firstLineChars="200"/>
              <w:jc w:val="center"/>
              <w:rPr>
                <w:rFonts w:hint="eastAsia" w:ascii="宋体" w:hAnsi="宋体"/>
                <w:sz w:val="24"/>
                <w:szCs w:val="24"/>
              </w:rPr>
            </w:pPr>
            <w:r>
              <w:rPr>
                <w:rFonts w:hint="eastAsia" w:ascii="宋体" w:hAnsi="宋体"/>
                <w:sz w:val="24"/>
                <w:szCs w:val="24"/>
              </w:rPr>
              <w:t>详细参数</w:t>
            </w:r>
          </w:p>
        </w:tc>
      </w:tr>
      <w:tr w14:paraId="3A824A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791753B9">
            <w:pPr>
              <w:spacing w:line="360" w:lineRule="auto"/>
              <w:jc w:val="center"/>
              <w:rPr>
                <w:rFonts w:hint="eastAsia" w:ascii="宋体" w:hAnsi="宋体"/>
                <w:sz w:val="24"/>
                <w:szCs w:val="24"/>
              </w:rPr>
            </w:pPr>
            <w:r>
              <w:rPr>
                <w:rFonts w:hint="eastAsia" w:ascii="宋体" w:hAnsi="宋体"/>
                <w:sz w:val="24"/>
                <w:szCs w:val="24"/>
              </w:rPr>
              <w:t>基本要求</w:t>
            </w:r>
          </w:p>
        </w:tc>
        <w:tc>
          <w:tcPr>
            <w:tcW w:w="7647" w:type="dxa"/>
            <w:shd w:val="clear" w:color="auto" w:fill="FFFFFF"/>
            <w:vAlign w:val="center"/>
          </w:tcPr>
          <w:p w14:paraId="0EF3D014">
            <w:pPr>
              <w:spacing w:line="360" w:lineRule="auto"/>
              <w:ind w:firstLine="480" w:firstLineChars="200"/>
              <w:rPr>
                <w:rFonts w:hint="eastAsia" w:ascii="宋体" w:hAnsi="宋体"/>
                <w:sz w:val="24"/>
                <w:szCs w:val="24"/>
              </w:rPr>
            </w:pPr>
            <w:r>
              <w:rPr>
                <w:rFonts w:hint="eastAsia" w:ascii="宋体" w:hAnsi="宋体"/>
                <w:sz w:val="24"/>
                <w:szCs w:val="24"/>
              </w:rPr>
              <w:t>★采用国产化软硬件一体、标准机架式设备，配置≥单颗CPU，每颗CPU≥8核16线程国产化CPU，≥32G内存，≥2T硬盘，≥8个千兆电口，支持国产化操作系统。本次配置≥200的零信任并发授权（</w:t>
            </w:r>
            <w:r>
              <w:rPr>
                <w:rFonts w:hint="eastAsia" w:ascii="宋体" w:hAnsi="宋体" w:cs="Courier New"/>
                <w:kern w:val="0"/>
                <w:sz w:val="24"/>
                <w:szCs w:val="24"/>
              </w:rPr>
              <w:t>同一时刻内，登录系统并进行业务操作的用户并发数量</w:t>
            </w:r>
            <w:r>
              <w:rPr>
                <w:rFonts w:hint="eastAsia" w:ascii="宋体" w:hAnsi="宋体"/>
                <w:sz w:val="24"/>
                <w:szCs w:val="24"/>
              </w:rPr>
              <w:t>）。</w:t>
            </w:r>
          </w:p>
        </w:tc>
      </w:tr>
      <w:tr w14:paraId="5DD9A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3360F806">
            <w:pPr>
              <w:spacing w:line="360" w:lineRule="auto"/>
              <w:jc w:val="center"/>
              <w:rPr>
                <w:rFonts w:hint="eastAsia" w:ascii="宋体" w:hAnsi="宋体"/>
                <w:sz w:val="24"/>
                <w:szCs w:val="24"/>
              </w:rPr>
            </w:pPr>
            <w:r>
              <w:rPr>
                <w:rFonts w:hint="eastAsia" w:ascii="宋体" w:hAnsi="宋体"/>
                <w:sz w:val="24"/>
                <w:szCs w:val="24"/>
              </w:rPr>
              <w:t>应用发布能力要求</w:t>
            </w:r>
          </w:p>
        </w:tc>
        <w:tc>
          <w:tcPr>
            <w:tcW w:w="7647" w:type="dxa"/>
            <w:shd w:val="clear" w:color="auto" w:fill="FFFFFF"/>
            <w:vAlign w:val="center"/>
          </w:tcPr>
          <w:p w14:paraId="2A17C357">
            <w:pPr>
              <w:spacing w:line="360" w:lineRule="auto"/>
              <w:ind w:firstLine="480" w:firstLineChars="200"/>
              <w:rPr>
                <w:rFonts w:hint="eastAsia" w:ascii="宋体" w:hAnsi="宋体"/>
                <w:sz w:val="24"/>
                <w:szCs w:val="24"/>
              </w:rPr>
            </w:pPr>
            <w:r>
              <w:rPr>
                <w:rFonts w:hint="eastAsia" w:ascii="宋体" w:hAnsi="宋体"/>
                <w:sz w:val="24"/>
                <w:szCs w:val="24"/>
              </w:rPr>
              <w:t>支持无端、有端及两者共存的三种应用访问方式。支持发布正向代理、反向代理、隧道应用、堡垒机式访问应用。可配置隧道应用打开软件；支持发布可以在移动端被拉起的APP。支持限制应用仅能在对应操作系统展示及访问。</w:t>
            </w:r>
          </w:p>
          <w:p w14:paraId="6CADAD2E">
            <w:pPr>
              <w:spacing w:line="360" w:lineRule="auto"/>
              <w:ind w:firstLine="480" w:firstLineChars="200"/>
              <w:rPr>
                <w:rFonts w:hint="eastAsia" w:ascii="宋体" w:hAnsi="宋体"/>
                <w:sz w:val="24"/>
                <w:szCs w:val="24"/>
              </w:rPr>
            </w:pPr>
            <w:r>
              <w:rPr>
                <w:rFonts w:hint="eastAsia" w:ascii="宋体" w:hAnsi="宋体"/>
                <w:sz w:val="24"/>
                <w:szCs w:val="24"/>
              </w:rPr>
              <w:t>▲为满足广大用户便利的进行电子资源访问的需求，在不改变用户使用习惯的基础上进行业务代理，零信任平台支持与图书馆现有门户系统、统一身份认证等系统做深度融合，保证用户访问门户中发布的应用及其它内容时不受时间地点限制，内外网使用体验感完全一致（磋商响应时需提供产品功能截图）。</w:t>
            </w:r>
          </w:p>
        </w:tc>
      </w:tr>
      <w:tr w14:paraId="507EE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0340E3D0">
            <w:pPr>
              <w:spacing w:line="360" w:lineRule="auto"/>
              <w:jc w:val="center"/>
              <w:rPr>
                <w:rFonts w:hint="eastAsia" w:ascii="宋体" w:hAnsi="宋体"/>
                <w:sz w:val="24"/>
                <w:szCs w:val="24"/>
              </w:rPr>
            </w:pPr>
            <w:r>
              <w:rPr>
                <w:rFonts w:hint="eastAsia" w:ascii="宋体" w:hAnsi="宋体"/>
                <w:sz w:val="24"/>
                <w:szCs w:val="24"/>
              </w:rPr>
              <w:t>身份认证</w:t>
            </w:r>
          </w:p>
        </w:tc>
        <w:tc>
          <w:tcPr>
            <w:tcW w:w="7647" w:type="dxa"/>
            <w:shd w:val="clear" w:color="auto" w:fill="FFFFFF"/>
            <w:vAlign w:val="center"/>
          </w:tcPr>
          <w:p w14:paraId="6B705BCE">
            <w:pPr>
              <w:spacing w:line="360" w:lineRule="auto"/>
              <w:ind w:firstLine="480" w:firstLineChars="200"/>
              <w:rPr>
                <w:rFonts w:hint="eastAsia" w:ascii="宋体" w:hAnsi="宋体"/>
                <w:sz w:val="24"/>
                <w:szCs w:val="24"/>
              </w:rPr>
            </w:pPr>
            <w:r>
              <w:rPr>
                <w:rFonts w:hint="eastAsia" w:ascii="宋体" w:hAnsi="宋体"/>
                <w:sz w:val="24"/>
                <w:szCs w:val="24"/>
              </w:rPr>
              <w:t>提供用户接入的集中身份认证管理，如采用私有化部署需要支持内置账号、AD/LDAP、Radius、DB及手机APP扫码认证等。</w:t>
            </w:r>
            <w:r>
              <w:rPr>
                <w:rFonts w:hint="eastAsia" w:ascii="宋体" w:hAnsi="宋体"/>
                <w:sz w:val="24"/>
                <w:szCs w:val="24"/>
              </w:rPr>
              <w:br w:type="textWrapping"/>
            </w:r>
            <w:r>
              <w:rPr>
                <w:rFonts w:hint="eastAsia" w:ascii="宋体" w:hAnsi="宋体"/>
                <w:sz w:val="24"/>
                <w:szCs w:val="24"/>
              </w:rPr>
              <w:t>支持CAS、OAUTH单点协议，支持微信、企业微信、钉钉、飞书扫码登录方式及其他三方扫码登录，支持SIM卡认证、Ukey数字证书认证、TOTP认证、人脸认证方式；支持账号绑定功能，账号需绑定手机/邮箱/飞书，否则不允许账号登录。</w:t>
            </w:r>
            <w:r>
              <w:rPr>
                <w:rFonts w:hint="eastAsia" w:ascii="宋体" w:hAnsi="宋体"/>
                <w:sz w:val="24"/>
                <w:szCs w:val="24"/>
              </w:rPr>
              <w:br w:type="textWrapping"/>
            </w:r>
            <w:r>
              <w:rPr>
                <w:rFonts w:hint="eastAsia" w:ascii="宋体" w:hAnsi="宋体"/>
                <w:sz w:val="24"/>
                <w:szCs w:val="24"/>
              </w:rPr>
              <w:t>▲支持多种认证方式编排形成认证链：</w:t>
            </w:r>
            <w:r>
              <w:rPr>
                <w:rFonts w:hint="eastAsia" w:ascii="宋体" w:hAnsi="宋体"/>
                <w:sz w:val="24"/>
                <w:szCs w:val="24"/>
              </w:rPr>
              <w:br w:type="textWrapping"/>
            </w:r>
            <w:r>
              <w:rPr>
                <w:rFonts w:hint="eastAsia" w:ascii="宋体" w:hAnsi="宋体"/>
                <w:sz w:val="24"/>
                <w:szCs w:val="24"/>
              </w:rPr>
              <w:t>（1）支持根据认证配置调用对应的认证因子进行认证，可对两个以上认证因子进行认证编排（磋商响应时需提供产品功能截图）。</w:t>
            </w:r>
            <w:r>
              <w:rPr>
                <w:rFonts w:hint="eastAsia" w:ascii="宋体" w:hAnsi="宋体"/>
                <w:sz w:val="24"/>
                <w:szCs w:val="24"/>
              </w:rPr>
              <w:br w:type="textWrapping"/>
            </w:r>
            <w:r>
              <w:rPr>
                <w:rFonts w:hint="eastAsia" w:ascii="宋体" w:hAnsi="宋体"/>
                <w:sz w:val="24"/>
                <w:szCs w:val="24"/>
              </w:rPr>
              <w:t>（2）支持任意一种认证和按照优先级等级认证两种多因子认证方式（磋商响应时需提供产品功能截图）。</w:t>
            </w:r>
          </w:p>
        </w:tc>
      </w:tr>
      <w:tr w14:paraId="7CBA56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2F316D50">
            <w:pPr>
              <w:spacing w:line="360" w:lineRule="auto"/>
              <w:jc w:val="center"/>
              <w:rPr>
                <w:rFonts w:hint="eastAsia" w:ascii="宋体" w:hAnsi="宋体"/>
                <w:sz w:val="24"/>
                <w:szCs w:val="24"/>
              </w:rPr>
            </w:pPr>
            <w:r>
              <w:rPr>
                <w:rFonts w:hint="eastAsia" w:ascii="宋体" w:hAnsi="宋体"/>
                <w:sz w:val="24"/>
                <w:szCs w:val="24"/>
              </w:rPr>
              <w:t>客户端运行分析能力要求</w:t>
            </w:r>
          </w:p>
        </w:tc>
        <w:tc>
          <w:tcPr>
            <w:tcW w:w="7647" w:type="dxa"/>
            <w:shd w:val="clear" w:color="auto" w:fill="FFFFFF"/>
            <w:vAlign w:val="center"/>
          </w:tcPr>
          <w:p w14:paraId="163B51B5">
            <w:pPr>
              <w:spacing w:line="360" w:lineRule="auto"/>
              <w:ind w:firstLine="480" w:firstLineChars="200"/>
              <w:rPr>
                <w:rFonts w:hint="eastAsia" w:ascii="宋体" w:hAnsi="宋体"/>
                <w:sz w:val="24"/>
                <w:szCs w:val="24"/>
              </w:rPr>
            </w:pPr>
            <w:r>
              <w:rPr>
                <w:rFonts w:hint="eastAsia" w:ascii="宋体" w:hAnsi="宋体"/>
                <w:sz w:val="24"/>
                <w:szCs w:val="24"/>
              </w:rPr>
              <w:t>支持对客户端运行状态进行智能分析，实现运行问题快速定位与解决，支持用户一键上传零信任客户端运行日志、故障日志等内容，无需用户手工收集。</w:t>
            </w:r>
            <w:r>
              <w:rPr>
                <w:rFonts w:hint="eastAsia" w:ascii="宋体" w:hAnsi="宋体"/>
                <w:sz w:val="24"/>
                <w:szCs w:val="24"/>
              </w:rPr>
              <w:br w:type="textWrapping"/>
            </w:r>
            <w:r>
              <w:rPr>
                <w:rFonts w:hint="eastAsia" w:ascii="宋体" w:hAnsi="宋体"/>
                <w:sz w:val="24"/>
                <w:szCs w:val="24"/>
              </w:rPr>
              <w:t>支持零信任客户端提供自助排障、智能诊断能力，诊断页面需包含终端基础检测、运行环境检测、网络连通性检测、网关网络检测等。</w:t>
            </w:r>
            <w:r>
              <w:rPr>
                <w:rFonts w:hint="eastAsia" w:ascii="宋体" w:hAnsi="宋体"/>
                <w:sz w:val="24"/>
                <w:szCs w:val="24"/>
              </w:rPr>
              <w:br w:type="textWrapping"/>
            </w:r>
            <w:r>
              <w:rPr>
                <w:rFonts w:hint="eastAsia" w:ascii="宋体" w:hAnsi="宋体"/>
                <w:sz w:val="24"/>
                <w:szCs w:val="24"/>
              </w:rPr>
              <w:t>支持一键远程控制，可由用户向管理员发起远程控制请求，以便管理员快速远程帮助用户处理问题等操作。</w:t>
            </w:r>
          </w:p>
        </w:tc>
      </w:tr>
      <w:tr w14:paraId="5A135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139D4250">
            <w:pPr>
              <w:spacing w:line="360" w:lineRule="auto"/>
              <w:jc w:val="center"/>
              <w:rPr>
                <w:rFonts w:hint="eastAsia" w:ascii="宋体" w:hAnsi="宋体"/>
                <w:sz w:val="24"/>
                <w:szCs w:val="24"/>
              </w:rPr>
            </w:pPr>
            <w:r>
              <w:rPr>
                <w:rFonts w:hint="eastAsia" w:ascii="宋体" w:hAnsi="宋体"/>
                <w:sz w:val="24"/>
                <w:szCs w:val="24"/>
              </w:rPr>
              <w:t>基于终端风险的资产管理能力要求</w:t>
            </w:r>
          </w:p>
        </w:tc>
        <w:tc>
          <w:tcPr>
            <w:tcW w:w="7647" w:type="dxa"/>
            <w:shd w:val="clear" w:color="auto" w:fill="FFFFFF"/>
            <w:vAlign w:val="center"/>
          </w:tcPr>
          <w:p w14:paraId="1305A18D">
            <w:pPr>
              <w:spacing w:line="360" w:lineRule="auto"/>
              <w:ind w:firstLine="480" w:firstLineChars="200"/>
              <w:rPr>
                <w:rFonts w:hint="eastAsia" w:ascii="宋体" w:hAnsi="宋体"/>
                <w:sz w:val="24"/>
                <w:szCs w:val="24"/>
              </w:rPr>
            </w:pPr>
            <w:r>
              <w:rPr>
                <w:rFonts w:hint="eastAsia" w:ascii="宋体" w:hAnsi="宋体"/>
                <w:sz w:val="24"/>
                <w:szCs w:val="24"/>
              </w:rPr>
              <w:t>▲新设备入网注册提供三种方式，包括二次认证、授权码认证、流程申请，其中二次认证方式可自定义方式包括短信认证、邮箱认证等，授权码方式支持公共码、一人一码、一次性码，支持短信和邮箱两种方式分发授权码，自定义流程申请需支持针对用户组或单个用户执行（磋商响应时需提供产品功能截图）。</w:t>
            </w:r>
            <w:r>
              <w:rPr>
                <w:rFonts w:hint="eastAsia" w:ascii="宋体" w:hAnsi="宋体"/>
                <w:sz w:val="24"/>
                <w:szCs w:val="24"/>
              </w:rPr>
              <w:br w:type="textWrapping"/>
            </w:r>
            <w:r>
              <w:rPr>
                <w:rFonts w:hint="eastAsia" w:ascii="宋体" w:hAnsi="宋体"/>
                <w:sz w:val="24"/>
                <w:szCs w:val="24"/>
              </w:rPr>
              <w:t>支持用户终端安全画像，包括设备详情展示(注册时间、注册方式、首次登录时间、闲置时间、设备名称、系统版本、硬件特征码、升级记录等信息)，终端安装的软件清单（安装时间、名称、版本号等信息）、服务列表（服务名称、服务类型、运行状态等）、安全事件（上报时间、检测分类、危险等级、安全基线等）及最近使用记录。</w:t>
            </w:r>
            <w:r>
              <w:rPr>
                <w:rFonts w:hint="eastAsia" w:ascii="宋体" w:hAnsi="宋体"/>
                <w:sz w:val="24"/>
                <w:szCs w:val="24"/>
              </w:rPr>
              <w:br w:type="textWrapping"/>
            </w:r>
            <w:r>
              <w:rPr>
                <w:rFonts w:hint="eastAsia" w:ascii="宋体" w:hAnsi="宋体"/>
                <w:sz w:val="24"/>
                <w:szCs w:val="24"/>
              </w:rPr>
              <w:t>支持对终端类型、系统版本、零信任客户端版本进行统计分析，以图形化的方式展示汇总情况，展示页面需包含设备名称、使用人、绑定用户、风险等级、登陆位置、最近登陆时间等信息。</w:t>
            </w:r>
            <w:r>
              <w:rPr>
                <w:rFonts w:hint="eastAsia" w:ascii="宋体" w:hAnsi="宋体"/>
                <w:sz w:val="24"/>
                <w:szCs w:val="24"/>
              </w:rPr>
              <w:br w:type="textWrapping"/>
            </w:r>
            <w:r>
              <w:rPr>
                <w:rFonts w:hint="eastAsia" w:ascii="宋体" w:hAnsi="宋体"/>
                <w:sz w:val="24"/>
                <w:szCs w:val="24"/>
              </w:rPr>
              <w:t>支持基于终端安全事件对终端赋予安全评分，并在界面上用户画像中进行展示，直观查看终端安全状态。</w:t>
            </w:r>
          </w:p>
        </w:tc>
      </w:tr>
      <w:tr w14:paraId="26B4D1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3223B259">
            <w:pPr>
              <w:spacing w:line="360" w:lineRule="auto"/>
              <w:jc w:val="center"/>
              <w:rPr>
                <w:rFonts w:hint="eastAsia" w:ascii="宋体" w:hAnsi="宋体"/>
                <w:sz w:val="24"/>
                <w:szCs w:val="24"/>
              </w:rPr>
            </w:pPr>
            <w:r>
              <w:rPr>
                <w:rFonts w:hint="eastAsia" w:ascii="宋体" w:hAnsi="宋体"/>
                <w:sz w:val="24"/>
                <w:szCs w:val="24"/>
              </w:rPr>
              <w:t>终端信任评估能力要求</w:t>
            </w:r>
          </w:p>
        </w:tc>
        <w:tc>
          <w:tcPr>
            <w:tcW w:w="7647" w:type="dxa"/>
            <w:shd w:val="clear" w:color="auto" w:fill="FFFFFF"/>
            <w:vAlign w:val="center"/>
          </w:tcPr>
          <w:p w14:paraId="1E7DC7F7">
            <w:pPr>
              <w:spacing w:line="360" w:lineRule="auto"/>
              <w:ind w:firstLine="480" w:firstLineChars="200"/>
              <w:rPr>
                <w:rFonts w:hint="eastAsia" w:ascii="宋体" w:hAnsi="宋体"/>
                <w:sz w:val="24"/>
                <w:szCs w:val="24"/>
              </w:rPr>
            </w:pPr>
            <w:r>
              <w:rPr>
                <w:rFonts w:hint="eastAsia" w:ascii="宋体" w:hAnsi="宋体"/>
                <w:sz w:val="24"/>
                <w:szCs w:val="24"/>
              </w:rPr>
              <w:t>支持针对Windows、macOS、Linux（统信、麒麟）操作系统进行终端信任评估，给出终端高、中、低、安全终端风险等级评估结果，并在客户端展示风险等级，高、中、低危个数和具体详情。</w:t>
            </w:r>
            <w:r>
              <w:rPr>
                <w:rFonts w:hint="eastAsia" w:ascii="宋体" w:hAnsi="宋体"/>
                <w:sz w:val="24"/>
                <w:szCs w:val="24"/>
              </w:rPr>
              <w:br w:type="textWrapping"/>
            </w:r>
            <w:r>
              <w:rPr>
                <w:rFonts w:hint="eastAsia" w:ascii="宋体" w:hAnsi="宋体"/>
                <w:sz w:val="24"/>
                <w:szCs w:val="24"/>
              </w:rPr>
              <w:t>▲支持基于是否安装了指定的杀毒软件、是否安装了禁止的软件、是否运行了黑名单服务或者未运行必要的服务、是否开启了高危端口、是否启用了黑名单进程、是否安装了指定的windows漏洞补丁、是否存在弱密码、是否开启了防火墙、是否存在共享文件来给终端进行信任评估（磋商响应时需提供产品功能截图）。</w:t>
            </w:r>
          </w:p>
          <w:p w14:paraId="5A6D1B15">
            <w:pPr>
              <w:spacing w:line="360" w:lineRule="auto"/>
              <w:ind w:firstLine="480" w:firstLineChars="200"/>
              <w:rPr>
                <w:rFonts w:hint="eastAsia" w:ascii="宋体" w:hAnsi="宋体"/>
                <w:sz w:val="24"/>
                <w:szCs w:val="24"/>
              </w:rPr>
            </w:pPr>
            <w:r>
              <w:rPr>
                <w:rFonts w:hint="eastAsia" w:ascii="宋体" w:hAnsi="宋体"/>
                <w:sz w:val="24"/>
                <w:szCs w:val="24"/>
              </w:rPr>
              <w:t>支持在策略配置中基于终端风险等级做策略管控，支持依据是否存在高危端口、违规进程、高危服务、违规软件、未装杀软、未开防火墙做策略管控。</w:t>
            </w:r>
          </w:p>
        </w:tc>
      </w:tr>
      <w:tr w14:paraId="40EDB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01E8BD31">
            <w:pPr>
              <w:spacing w:line="360" w:lineRule="auto"/>
              <w:jc w:val="center"/>
              <w:rPr>
                <w:rFonts w:hint="eastAsia" w:ascii="宋体" w:hAnsi="宋体"/>
                <w:sz w:val="24"/>
                <w:szCs w:val="24"/>
              </w:rPr>
            </w:pPr>
            <w:r>
              <w:rPr>
                <w:rFonts w:hint="eastAsia" w:ascii="宋体" w:hAnsi="宋体"/>
                <w:sz w:val="24"/>
                <w:szCs w:val="24"/>
              </w:rPr>
              <w:t>软件资产管理能力要求</w:t>
            </w:r>
          </w:p>
        </w:tc>
        <w:tc>
          <w:tcPr>
            <w:tcW w:w="7647" w:type="dxa"/>
            <w:shd w:val="clear" w:color="auto" w:fill="FFFFFF"/>
            <w:vAlign w:val="center"/>
          </w:tcPr>
          <w:p w14:paraId="58AEB1F4">
            <w:pPr>
              <w:spacing w:line="360" w:lineRule="auto"/>
              <w:ind w:firstLine="480" w:firstLineChars="200"/>
              <w:rPr>
                <w:rFonts w:hint="eastAsia" w:ascii="宋体" w:hAnsi="宋体"/>
                <w:sz w:val="24"/>
                <w:szCs w:val="24"/>
              </w:rPr>
            </w:pPr>
            <w:r>
              <w:rPr>
                <w:rFonts w:hint="eastAsia" w:ascii="宋体" w:hAnsi="宋体"/>
                <w:sz w:val="24"/>
                <w:szCs w:val="24"/>
              </w:rPr>
              <w:t>支持对Windows、macOS、统信、麒麟桌面端软件资产进行收集和展示，支持依据操作系统做资产过滤，支持预置操作系统，包括Windows 、macOS 、统信 、麒麟，同时支持新增操作系统。</w:t>
            </w:r>
            <w:r>
              <w:rPr>
                <w:rFonts w:hint="eastAsia" w:ascii="宋体" w:hAnsi="宋体"/>
                <w:sz w:val="24"/>
                <w:szCs w:val="24"/>
              </w:rPr>
              <w:br w:type="textWrapping"/>
            </w:r>
            <w:r>
              <w:rPr>
                <w:rFonts w:hint="eastAsia" w:ascii="宋体" w:hAnsi="宋体"/>
                <w:sz w:val="24"/>
                <w:szCs w:val="24"/>
              </w:rPr>
              <w:t>支持依据收集到的系统名称和可配置的操作系统归类映射规则自动归类软件资产所属操作系统，支持对软件进行分类，支持预置软件分类。</w:t>
            </w:r>
            <w:r>
              <w:rPr>
                <w:rFonts w:hint="eastAsia" w:ascii="宋体" w:hAnsi="宋体"/>
                <w:sz w:val="24"/>
                <w:szCs w:val="24"/>
              </w:rPr>
              <w:br w:type="textWrapping"/>
            </w:r>
            <w:r>
              <w:rPr>
                <w:rFonts w:hint="eastAsia" w:ascii="宋体" w:hAnsi="宋体"/>
                <w:sz w:val="24"/>
                <w:szCs w:val="24"/>
              </w:rPr>
              <w:t>支持展示和导出特定终端上安装的软件资产信息，支持展示和导出特定软件资产终端安装信息。</w:t>
            </w:r>
          </w:p>
        </w:tc>
      </w:tr>
      <w:tr w14:paraId="16D4F5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7B8AC802">
            <w:pPr>
              <w:spacing w:line="360" w:lineRule="auto"/>
              <w:jc w:val="center"/>
              <w:rPr>
                <w:rFonts w:hint="eastAsia" w:ascii="宋体" w:hAnsi="宋体"/>
                <w:sz w:val="24"/>
                <w:szCs w:val="24"/>
              </w:rPr>
            </w:pPr>
            <w:r>
              <w:rPr>
                <w:rFonts w:hint="eastAsia" w:ascii="宋体" w:hAnsi="宋体"/>
                <w:sz w:val="24"/>
                <w:szCs w:val="24"/>
              </w:rPr>
              <w:t>应用商店能力要求</w:t>
            </w:r>
          </w:p>
        </w:tc>
        <w:tc>
          <w:tcPr>
            <w:tcW w:w="7647" w:type="dxa"/>
            <w:shd w:val="clear" w:color="auto" w:fill="FFFFFF"/>
            <w:vAlign w:val="center"/>
          </w:tcPr>
          <w:p w14:paraId="1627FB00">
            <w:pPr>
              <w:spacing w:line="360" w:lineRule="auto"/>
              <w:ind w:firstLine="480" w:firstLineChars="200"/>
              <w:rPr>
                <w:rFonts w:hint="eastAsia" w:ascii="宋体" w:hAnsi="宋体"/>
                <w:sz w:val="24"/>
                <w:szCs w:val="24"/>
              </w:rPr>
            </w:pPr>
            <w:r>
              <w:rPr>
                <w:rFonts w:hint="eastAsia" w:ascii="宋体" w:hAnsi="宋体"/>
                <w:sz w:val="24"/>
                <w:szCs w:val="24"/>
              </w:rPr>
              <w:t>支持应用软件的动态发布、下架、授权，支持发布应用软件设置软件运行环境、运行架构、MD5校验；支持对推送的软件进行自定义设置，包括自定义操作权限（下载并安装、仅下载、更新、卸载），执行权限（默认权限、管理员权限、系统权限），支持设定应用发布的有效期。</w:t>
            </w:r>
          </w:p>
        </w:tc>
      </w:tr>
      <w:tr w14:paraId="48232B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02E112E4">
            <w:pPr>
              <w:spacing w:line="360" w:lineRule="auto"/>
              <w:jc w:val="center"/>
              <w:rPr>
                <w:rFonts w:hint="eastAsia" w:ascii="宋体" w:hAnsi="宋体"/>
                <w:sz w:val="24"/>
                <w:szCs w:val="24"/>
              </w:rPr>
            </w:pPr>
            <w:r>
              <w:rPr>
                <w:rFonts w:hint="eastAsia" w:ascii="宋体" w:hAnsi="宋体"/>
                <w:sz w:val="24"/>
                <w:szCs w:val="24"/>
              </w:rPr>
              <w:t>网络隐身</w:t>
            </w:r>
          </w:p>
        </w:tc>
        <w:tc>
          <w:tcPr>
            <w:tcW w:w="7647" w:type="dxa"/>
            <w:shd w:val="clear" w:color="auto" w:fill="FFFFFF"/>
            <w:vAlign w:val="center"/>
          </w:tcPr>
          <w:p w14:paraId="0F9E54AD">
            <w:pPr>
              <w:spacing w:line="360" w:lineRule="auto"/>
              <w:ind w:firstLine="480" w:firstLineChars="200"/>
              <w:rPr>
                <w:rFonts w:hint="eastAsia" w:ascii="宋体" w:hAnsi="宋体"/>
                <w:sz w:val="24"/>
                <w:szCs w:val="24"/>
              </w:rPr>
            </w:pPr>
            <w:r>
              <w:rPr>
                <w:rFonts w:hint="eastAsia" w:ascii="宋体" w:hAnsi="宋体"/>
                <w:sz w:val="24"/>
                <w:szCs w:val="24"/>
              </w:rPr>
              <w:t>支持SPA，实现网关隐藏，确保每个单独的流量都得到授权，将服务器隐身，抵御外界扫描、嗅探等攻击；支持基于Code码的动态SPA敲门机制以及硬件特征码的静态SPA敲门机制，确保SPA报文的安全性。</w:t>
            </w:r>
          </w:p>
        </w:tc>
      </w:tr>
      <w:tr w14:paraId="3B363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0857BFC5">
            <w:pPr>
              <w:spacing w:line="360" w:lineRule="auto"/>
              <w:jc w:val="center"/>
              <w:rPr>
                <w:rFonts w:hint="eastAsia" w:ascii="宋体" w:hAnsi="宋体"/>
                <w:sz w:val="24"/>
                <w:szCs w:val="24"/>
              </w:rPr>
            </w:pPr>
            <w:r>
              <w:rPr>
                <w:rFonts w:hint="eastAsia" w:ascii="宋体" w:hAnsi="宋体"/>
                <w:sz w:val="24"/>
                <w:szCs w:val="24"/>
              </w:rPr>
              <w:t>零信任风险管控能力要求</w:t>
            </w:r>
          </w:p>
        </w:tc>
        <w:tc>
          <w:tcPr>
            <w:tcW w:w="7647" w:type="dxa"/>
            <w:shd w:val="clear" w:color="auto" w:fill="FFFFFF"/>
            <w:vAlign w:val="center"/>
          </w:tcPr>
          <w:p w14:paraId="2964984C">
            <w:pPr>
              <w:spacing w:line="360" w:lineRule="auto"/>
              <w:ind w:firstLine="480" w:firstLineChars="200"/>
              <w:rPr>
                <w:rFonts w:hint="eastAsia" w:ascii="宋体" w:hAnsi="宋体"/>
                <w:sz w:val="24"/>
                <w:szCs w:val="24"/>
              </w:rPr>
            </w:pPr>
            <w:r>
              <w:rPr>
                <w:rFonts w:hint="eastAsia" w:ascii="宋体" w:hAnsi="宋体"/>
                <w:sz w:val="24"/>
                <w:szCs w:val="24"/>
              </w:rPr>
              <w:t>支持通过构建终端风险评估模型对终端进行多维立体的防护，包括应用合规检测、软件黑白名单、系统服务黑白名单、高危端口等进行管控；</w:t>
            </w:r>
            <w:r>
              <w:rPr>
                <w:rFonts w:hint="eastAsia" w:ascii="宋体" w:hAnsi="宋体"/>
                <w:sz w:val="24"/>
                <w:szCs w:val="24"/>
              </w:rPr>
              <w:br w:type="textWrapping"/>
            </w:r>
            <w:r>
              <w:rPr>
                <w:rFonts w:hint="eastAsia" w:ascii="宋体" w:hAnsi="宋体"/>
                <w:sz w:val="24"/>
                <w:szCs w:val="24"/>
              </w:rPr>
              <w:t>支持动态访问策略，并预置策略包括但不限于系统账号异常检测、弱口令检测、账号多地登陆检测、使用黑客工具检测、暴力破解及慢速撞库检测等能力。</w:t>
            </w:r>
          </w:p>
          <w:p w14:paraId="13336A23">
            <w:pPr>
              <w:spacing w:line="360" w:lineRule="auto"/>
              <w:ind w:firstLine="480" w:firstLineChars="200"/>
              <w:rPr>
                <w:rFonts w:hint="eastAsia" w:ascii="宋体" w:hAnsi="宋体"/>
                <w:sz w:val="24"/>
                <w:szCs w:val="24"/>
              </w:rPr>
            </w:pPr>
            <w:r>
              <w:rPr>
                <w:rFonts w:hint="eastAsia" w:ascii="宋体" w:hAnsi="宋体"/>
                <w:sz w:val="24"/>
                <w:szCs w:val="24"/>
              </w:rPr>
              <w:t>▲支持基于场景的安全策略编排，并以场景化进行保存，快速调用，如用户登录场景（内外网登录策略、威胁IP二次认证策略、账号撞库策略）、web应用访问场景、隧道应用访问场景（已知应用统计、未知应用标记、访问僵尸应用初始策略、数据采样）等；支持基于多场景安全策略评估结果联动控制，如在web应用访问场景中触发的安全策略评估结果，可以自动提供给用户登录场景进行调用（磋商响应时需提供产品功能截图）。</w:t>
            </w:r>
          </w:p>
          <w:p w14:paraId="367B81FA">
            <w:pPr>
              <w:spacing w:line="360" w:lineRule="auto"/>
              <w:ind w:firstLine="480" w:firstLineChars="200"/>
              <w:rPr>
                <w:rFonts w:hint="eastAsia" w:ascii="宋体" w:hAnsi="宋体"/>
                <w:sz w:val="24"/>
                <w:szCs w:val="24"/>
              </w:rPr>
            </w:pPr>
            <w:r>
              <w:rPr>
                <w:rFonts w:hint="eastAsia" w:ascii="宋体" w:hAnsi="宋体"/>
                <w:sz w:val="24"/>
                <w:szCs w:val="24"/>
              </w:rPr>
              <w:t>支持自定义扩展任意未预置的属性，支持基于主体、客体的属性自由定义安全规则，无需定制开发即可实现更丰富的安全策略。</w:t>
            </w:r>
            <w:r>
              <w:rPr>
                <w:rFonts w:hint="eastAsia" w:ascii="宋体" w:hAnsi="宋体"/>
                <w:sz w:val="24"/>
                <w:szCs w:val="24"/>
              </w:rPr>
              <w:br w:type="textWrapping"/>
            </w:r>
            <w:r>
              <w:rPr>
                <w:rFonts w:hint="eastAsia" w:ascii="宋体" w:hAnsi="宋体"/>
                <w:sz w:val="24"/>
                <w:szCs w:val="24"/>
              </w:rPr>
              <w:t>可以配置当用户不同意零信任系统收集个人隐私数据时禁止登录或者只能访问受限的一些应用。</w:t>
            </w:r>
            <w:r>
              <w:rPr>
                <w:rFonts w:hint="eastAsia" w:ascii="宋体" w:hAnsi="宋体"/>
                <w:sz w:val="24"/>
                <w:szCs w:val="24"/>
              </w:rPr>
              <w:br w:type="textWrapping"/>
            </w:r>
            <w:r>
              <w:rPr>
                <w:rFonts w:hint="eastAsia" w:ascii="宋体" w:hAnsi="宋体"/>
                <w:sz w:val="24"/>
                <w:szCs w:val="24"/>
              </w:rPr>
              <w:t>在RBAC基础上，支持通过更细粒度的权限控制，禁止用户通过个人设备访问业务系统。</w:t>
            </w:r>
          </w:p>
        </w:tc>
      </w:tr>
      <w:tr w14:paraId="4118A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29B6103B">
            <w:pPr>
              <w:spacing w:line="360" w:lineRule="auto"/>
              <w:jc w:val="center"/>
              <w:rPr>
                <w:rFonts w:hint="eastAsia" w:ascii="宋体" w:hAnsi="宋体"/>
                <w:sz w:val="24"/>
                <w:szCs w:val="24"/>
              </w:rPr>
            </w:pPr>
            <w:r>
              <w:rPr>
                <w:rFonts w:hint="eastAsia" w:ascii="宋体" w:hAnsi="宋体"/>
                <w:sz w:val="24"/>
                <w:szCs w:val="24"/>
              </w:rPr>
              <w:t>终端管控</w:t>
            </w:r>
          </w:p>
        </w:tc>
        <w:tc>
          <w:tcPr>
            <w:tcW w:w="7647" w:type="dxa"/>
            <w:shd w:val="clear" w:color="auto" w:fill="FFFFFF"/>
            <w:vAlign w:val="center"/>
          </w:tcPr>
          <w:p w14:paraId="48996DDE">
            <w:pPr>
              <w:spacing w:line="360" w:lineRule="auto"/>
              <w:ind w:firstLine="480" w:firstLineChars="200"/>
              <w:rPr>
                <w:rFonts w:hint="eastAsia" w:ascii="宋体" w:hAnsi="宋体"/>
                <w:sz w:val="24"/>
                <w:szCs w:val="24"/>
              </w:rPr>
            </w:pPr>
            <w:r>
              <w:rPr>
                <w:rFonts w:hint="eastAsia" w:ascii="宋体" w:hAnsi="宋体"/>
                <w:sz w:val="24"/>
                <w:szCs w:val="24"/>
              </w:rPr>
              <w:t>支持外设管控，水印管控、网络管控，包括USB存储设备和打印机管控、终端水印自定义配置、网络违规外联和WIFI连接管控。</w:t>
            </w:r>
          </w:p>
        </w:tc>
      </w:tr>
      <w:tr w14:paraId="4FB01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6AC89927">
            <w:pPr>
              <w:spacing w:line="360" w:lineRule="auto"/>
              <w:jc w:val="center"/>
              <w:rPr>
                <w:rFonts w:hint="eastAsia" w:ascii="宋体" w:hAnsi="宋体"/>
                <w:sz w:val="24"/>
                <w:szCs w:val="24"/>
              </w:rPr>
            </w:pPr>
            <w:r>
              <w:rPr>
                <w:rFonts w:hint="eastAsia" w:ascii="宋体" w:hAnsi="宋体"/>
                <w:sz w:val="24"/>
                <w:szCs w:val="24"/>
              </w:rPr>
              <w:t>智能运维能力要求</w:t>
            </w:r>
          </w:p>
        </w:tc>
        <w:tc>
          <w:tcPr>
            <w:tcW w:w="7647" w:type="dxa"/>
            <w:shd w:val="clear" w:color="auto" w:fill="FFFFFF"/>
            <w:vAlign w:val="center"/>
          </w:tcPr>
          <w:p w14:paraId="2CA84D74">
            <w:pPr>
              <w:spacing w:line="360" w:lineRule="auto"/>
              <w:ind w:firstLine="480" w:firstLineChars="200"/>
              <w:rPr>
                <w:rFonts w:hint="eastAsia" w:ascii="宋体" w:hAnsi="宋体"/>
                <w:sz w:val="24"/>
                <w:szCs w:val="24"/>
              </w:rPr>
            </w:pPr>
            <w:r>
              <w:rPr>
                <w:rFonts w:hint="eastAsia" w:ascii="宋体" w:hAnsi="宋体"/>
                <w:sz w:val="24"/>
                <w:szCs w:val="24"/>
              </w:rPr>
              <w:t>支持对零信任服务、三方接口进行多维度的健康度监控：支持设置定时巡检任务，基于HTTP(S)、TCP、PING等协议监控，以及GET、POST请求方式进行健康度监控，并可以设置监控频率；支持用断言定义的方式，设置不同探测点上拨测响应结果的判断条件。</w:t>
            </w:r>
          </w:p>
        </w:tc>
      </w:tr>
      <w:tr w14:paraId="18DCB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328939EA">
            <w:pPr>
              <w:spacing w:line="360" w:lineRule="auto"/>
              <w:jc w:val="center"/>
              <w:rPr>
                <w:rFonts w:hint="eastAsia" w:ascii="宋体" w:hAnsi="宋体"/>
                <w:sz w:val="24"/>
                <w:szCs w:val="24"/>
              </w:rPr>
            </w:pPr>
            <w:r>
              <w:rPr>
                <w:rFonts w:hint="eastAsia" w:ascii="宋体" w:hAnsi="宋体"/>
                <w:sz w:val="24"/>
                <w:szCs w:val="24"/>
              </w:rPr>
              <w:t>运营监控</w:t>
            </w:r>
          </w:p>
        </w:tc>
        <w:tc>
          <w:tcPr>
            <w:tcW w:w="7647" w:type="dxa"/>
            <w:shd w:val="clear" w:color="auto" w:fill="FFFFFF"/>
            <w:vAlign w:val="center"/>
          </w:tcPr>
          <w:p w14:paraId="557F89F7">
            <w:pPr>
              <w:spacing w:line="360" w:lineRule="auto"/>
              <w:ind w:firstLine="480" w:firstLineChars="200"/>
              <w:rPr>
                <w:rFonts w:hint="eastAsia" w:ascii="宋体" w:hAnsi="宋体"/>
                <w:sz w:val="24"/>
                <w:szCs w:val="24"/>
              </w:rPr>
            </w:pPr>
            <w:r>
              <w:rPr>
                <w:rFonts w:hint="eastAsia" w:ascii="宋体" w:hAnsi="宋体"/>
                <w:sz w:val="24"/>
                <w:szCs w:val="24"/>
              </w:rPr>
              <w:t>支持对认证和隧道会话进行监控：支持展示认证方式排行、认证接口响应时间趋势支持展示网关会话同步接口响应时间趋势。</w:t>
            </w:r>
          </w:p>
        </w:tc>
      </w:tr>
      <w:tr w14:paraId="77007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67A27B2D">
            <w:pPr>
              <w:spacing w:line="360" w:lineRule="auto"/>
              <w:jc w:val="center"/>
              <w:rPr>
                <w:rFonts w:hint="eastAsia" w:ascii="宋体" w:hAnsi="宋体"/>
                <w:sz w:val="24"/>
                <w:szCs w:val="24"/>
              </w:rPr>
            </w:pPr>
            <w:r>
              <w:rPr>
                <w:rFonts w:hint="eastAsia" w:ascii="宋体" w:hAnsi="宋体"/>
                <w:sz w:val="24"/>
                <w:szCs w:val="24"/>
              </w:rPr>
              <w:t>故障和告警对接能力要求</w:t>
            </w:r>
          </w:p>
        </w:tc>
        <w:tc>
          <w:tcPr>
            <w:tcW w:w="7647" w:type="dxa"/>
            <w:shd w:val="clear" w:color="auto" w:fill="FFFFFF"/>
            <w:vAlign w:val="center"/>
          </w:tcPr>
          <w:p w14:paraId="5F5C67A1">
            <w:pPr>
              <w:spacing w:line="360" w:lineRule="auto"/>
              <w:ind w:firstLine="480" w:firstLineChars="200"/>
              <w:rPr>
                <w:rFonts w:hint="eastAsia" w:ascii="宋体" w:hAnsi="宋体"/>
                <w:sz w:val="24"/>
                <w:szCs w:val="24"/>
              </w:rPr>
            </w:pPr>
            <w:r>
              <w:rPr>
                <w:rFonts w:hint="eastAsia" w:ascii="宋体" w:hAnsi="宋体"/>
                <w:sz w:val="24"/>
                <w:szCs w:val="24"/>
              </w:rPr>
              <w:t>▲支持SNMP告警、性能数据的Snmp get操作.支持获取的信息包括CPU使用率、磁盘使用率、内存使用率、网口速率、集群故障、服务故障，可以提供mib文件，支持V1、V2C和V3（磋商响应时需提供产品功能截图）。</w:t>
            </w:r>
          </w:p>
        </w:tc>
      </w:tr>
      <w:tr w14:paraId="4E351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67BFFC37">
            <w:pPr>
              <w:spacing w:line="360" w:lineRule="auto"/>
              <w:jc w:val="center"/>
              <w:rPr>
                <w:rFonts w:hint="eastAsia" w:ascii="宋体" w:hAnsi="宋体"/>
                <w:sz w:val="24"/>
                <w:szCs w:val="24"/>
              </w:rPr>
            </w:pPr>
            <w:r>
              <w:rPr>
                <w:rFonts w:hint="eastAsia" w:ascii="宋体" w:hAnsi="宋体"/>
                <w:sz w:val="24"/>
                <w:szCs w:val="24"/>
              </w:rPr>
              <w:t>可视化</w:t>
            </w:r>
          </w:p>
        </w:tc>
        <w:tc>
          <w:tcPr>
            <w:tcW w:w="7647" w:type="dxa"/>
            <w:shd w:val="clear" w:color="auto" w:fill="FFFFFF"/>
            <w:vAlign w:val="center"/>
          </w:tcPr>
          <w:p w14:paraId="4B3BC77C">
            <w:pPr>
              <w:spacing w:line="360" w:lineRule="auto"/>
              <w:ind w:firstLine="480" w:firstLineChars="200"/>
              <w:rPr>
                <w:rFonts w:hint="eastAsia" w:ascii="宋体" w:hAnsi="宋体"/>
                <w:sz w:val="24"/>
                <w:szCs w:val="24"/>
              </w:rPr>
            </w:pPr>
            <w:r>
              <w:rPr>
                <w:rFonts w:hint="eastAsia" w:ascii="宋体" w:hAnsi="宋体"/>
                <w:sz w:val="24"/>
                <w:szCs w:val="24"/>
              </w:rPr>
              <w:t>支持针对用户信息的展示，包括：总用户数、在线用户数、风险账号数、实时在线用户数统计、用户关联的安全策略、策略命中次数以及最近命中时间。</w:t>
            </w:r>
          </w:p>
          <w:p w14:paraId="4F60C367">
            <w:pPr>
              <w:spacing w:line="360" w:lineRule="auto"/>
              <w:ind w:firstLine="480" w:firstLineChars="200"/>
              <w:rPr>
                <w:rFonts w:hint="eastAsia" w:ascii="宋体" w:hAnsi="宋体"/>
                <w:sz w:val="24"/>
                <w:szCs w:val="24"/>
              </w:rPr>
            </w:pPr>
            <w:r>
              <w:rPr>
                <w:rFonts w:hint="eastAsia" w:ascii="宋体" w:hAnsi="宋体"/>
                <w:sz w:val="24"/>
                <w:szCs w:val="24"/>
              </w:rPr>
              <w:t>支持监控大屏展示，从用户、应用、设备、策略、异常告警行为日志中分析出不同维度的数据以数字、折线图、饼状图、柱状图、排名列表等进行展示，用户支持自定义选择展示模块，以便运维人员可以更直观的了解现系统的认证/访问行为全貌；支持自定义选择下载模块，用户点击下载后，进行预览自排版导出界面，支持HTML、PDF格式。</w:t>
            </w:r>
          </w:p>
        </w:tc>
      </w:tr>
      <w:tr w14:paraId="18C13D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664E9F37">
            <w:pPr>
              <w:spacing w:line="360" w:lineRule="auto"/>
              <w:jc w:val="center"/>
              <w:rPr>
                <w:rFonts w:hint="eastAsia" w:ascii="宋体" w:hAnsi="宋体"/>
                <w:sz w:val="24"/>
                <w:szCs w:val="24"/>
              </w:rPr>
            </w:pPr>
            <w:r>
              <w:rPr>
                <w:rFonts w:hint="eastAsia" w:ascii="宋体" w:hAnsi="宋体"/>
                <w:sz w:val="24"/>
                <w:szCs w:val="24"/>
              </w:rPr>
              <w:t>标签管理</w:t>
            </w:r>
          </w:p>
        </w:tc>
        <w:tc>
          <w:tcPr>
            <w:tcW w:w="7647" w:type="dxa"/>
            <w:shd w:val="clear" w:color="auto" w:fill="FFFFFF"/>
            <w:vAlign w:val="center"/>
          </w:tcPr>
          <w:p w14:paraId="713EFEC8">
            <w:pPr>
              <w:spacing w:line="360" w:lineRule="auto"/>
              <w:ind w:firstLine="480" w:firstLineChars="200"/>
              <w:rPr>
                <w:rFonts w:hint="eastAsia" w:ascii="宋体" w:hAnsi="宋体"/>
                <w:sz w:val="24"/>
                <w:szCs w:val="24"/>
              </w:rPr>
            </w:pPr>
            <w:r>
              <w:rPr>
                <w:rFonts w:hint="eastAsia" w:ascii="宋体" w:hAnsi="宋体"/>
                <w:sz w:val="24"/>
                <w:szCs w:val="24"/>
              </w:rPr>
              <w:t>▲支持基于系统学习自动给用户、设备、应用打标签，并针对用户、设备和应用的标签体系化管理，依据标签属性实现灵活的策略配置。可自定义生成更多标签，并设定不同标签颜色（磋商响应时需提供产品功能截图）。</w:t>
            </w:r>
          </w:p>
        </w:tc>
      </w:tr>
      <w:tr w14:paraId="1C101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486FF16D">
            <w:pPr>
              <w:spacing w:line="360" w:lineRule="auto"/>
              <w:jc w:val="center"/>
              <w:rPr>
                <w:rFonts w:hint="eastAsia" w:ascii="宋体" w:hAnsi="宋体"/>
                <w:sz w:val="24"/>
                <w:szCs w:val="24"/>
              </w:rPr>
            </w:pPr>
            <w:r>
              <w:rPr>
                <w:rFonts w:hint="eastAsia" w:ascii="宋体" w:hAnsi="宋体"/>
                <w:sz w:val="24"/>
                <w:szCs w:val="24"/>
              </w:rPr>
              <w:t>智能选路</w:t>
            </w:r>
          </w:p>
        </w:tc>
        <w:tc>
          <w:tcPr>
            <w:tcW w:w="7647" w:type="dxa"/>
            <w:shd w:val="clear" w:color="auto" w:fill="FFFFFF"/>
            <w:vAlign w:val="center"/>
          </w:tcPr>
          <w:p w14:paraId="098DB2C6">
            <w:pPr>
              <w:spacing w:line="360" w:lineRule="auto"/>
              <w:ind w:firstLine="480" w:firstLineChars="200"/>
              <w:rPr>
                <w:rFonts w:hint="eastAsia" w:ascii="宋体" w:hAnsi="宋体"/>
                <w:sz w:val="24"/>
                <w:szCs w:val="24"/>
              </w:rPr>
            </w:pPr>
            <w:r>
              <w:rPr>
                <w:rFonts w:hint="eastAsia" w:ascii="宋体" w:hAnsi="宋体"/>
                <w:sz w:val="24"/>
                <w:szCs w:val="24"/>
              </w:rPr>
              <w:t>▲支持依据用户、设备、网络属性的智能选路功能，可以依据用户标签、账号行为、绑定设备数、设备操作系统类型、设备标签、终端安全风险、接入位置、接入IP、归属的运营商、访问时间来确定登录后的门户页和访问业务系统使用的网关（磋商响应时需提供产品功能截图）。</w:t>
            </w:r>
          </w:p>
        </w:tc>
      </w:tr>
      <w:tr w14:paraId="62CFA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3050D4EB">
            <w:pPr>
              <w:spacing w:line="360" w:lineRule="auto"/>
              <w:jc w:val="center"/>
              <w:rPr>
                <w:rFonts w:hint="eastAsia" w:ascii="宋体" w:hAnsi="宋体"/>
                <w:sz w:val="24"/>
                <w:szCs w:val="24"/>
              </w:rPr>
            </w:pPr>
            <w:r>
              <w:rPr>
                <w:rFonts w:hint="eastAsia" w:ascii="宋体" w:hAnsi="宋体"/>
                <w:sz w:val="24"/>
                <w:szCs w:val="24"/>
              </w:rPr>
              <w:t>动态能力扩展</w:t>
            </w:r>
          </w:p>
        </w:tc>
        <w:tc>
          <w:tcPr>
            <w:tcW w:w="7647" w:type="dxa"/>
            <w:shd w:val="clear" w:color="auto" w:fill="FFFFFF"/>
            <w:vAlign w:val="center"/>
          </w:tcPr>
          <w:p w14:paraId="2804FFA2">
            <w:pPr>
              <w:spacing w:line="360" w:lineRule="auto"/>
              <w:ind w:firstLine="480" w:firstLineChars="200"/>
              <w:rPr>
                <w:rFonts w:hint="eastAsia" w:ascii="宋体" w:hAnsi="宋体"/>
                <w:sz w:val="24"/>
                <w:szCs w:val="24"/>
              </w:rPr>
            </w:pPr>
            <w:r>
              <w:rPr>
                <w:rFonts w:hint="eastAsia" w:ascii="宋体" w:hAnsi="宋体"/>
                <w:sz w:val="24"/>
                <w:szCs w:val="24"/>
              </w:rPr>
              <w:t>▲支持安全能力的动态扩展，在不编码的情况下及时满足客户对安全能力的需求,具体要达到以下效果：提供一体化安全终端，可以依据策略动态给一体化终端安装安全沙箱等组件和软件，管理端支持组件动态加载能力，实现诸如三方身份源对接组件的动态加载，能依据用户、终端、时空、报文属性动态配置出新安全策略（磋商响应时需提供产品功能截图）。</w:t>
            </w:r>
          </w:p>
        </w:tc>
      </w:tr>
      <w:tr w14:paraId="34D10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shd w:val="clear" w:color="auto" w:fill="FFFFFF"/>
            <w:vAlign w:val="center"/>
          </w:tcPr>
          <w:p w14:paraId="548DF1C3">
            <w:pPr>
              <w:spacing w:line="360" w:lineRule="auto"/>
              <w:jc w:val="center"/>
              <w:rPr>
                <w:rFonts w:hint="eastAsia" w:ascii="宋体" w:hAnsi="宋体"/>
                <w:sz w:val="24"/>
                <w:szCs w:val="24"/>
              </w:rPr>
            </w:pPr>
            <w:r>
              <w:rPr>
                <w:rFonts w:hint="eastAsia" w:ascii="宋体" w:hAnsi="宋体"/>
                <w:sz w:val="24"/>
                <w:szCs w:val="24"/>
              </w:rPr>
              <w:t>license细粒度授权</w:t>
            </w:r>
          </w:p>
        </w:tc>
        <w:tc>
          <w:tcPr>
            <w:tcW w:w="7647" w:type="dxa"/>
            <w:shd w:val="clear" w:color="auto" w:fill="FFFFFF"/>
            <w:vAlign w:val="center"/>
          </w:tcPr>
          <w:p w14:paraId="64809B42">
            <w:pPr>
              <w:spacing w:line="360" w:lineRule="auto"/>
              <w:ind w:firstLine="480" w:firstLineChars="200"/>
              <w:rPr>
                <w:rFonts w:hint="eastAsia" w:ascii="宋体" w:hAnsi="宋体"/>
                <w:sz w:val="24"/>
                <w:szCs w:val="24"/>
              </w:rPr>
            </w:pPr>
            <w:r>
              <w:rPr>
                <w:rFonts w:hint="eastAsia" w:ascii="宋体" w:hAnsi="宋体"/>
                <w:sz w:val="24"/>
                <w:szCs w:val="24"/>
              </w:rPr>
              <w:t>支持为不同组织/部门分配不同数量的终端接入数授权。</w:t>
            </w:r>
          </w:p>
        </w:tc>
      </w:tr>
      <w:tr w14:paraId="03440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534CFAF1">
            <w:pPr>
              <w:spacing w:line="360" w:lineRule="auto"/>
              <w:jc w:val="center"/>
              <w:rPr>
                <w:rFonts w:hint="eastAsia" w:ascii="宋体" w:hAnsi="宋体"/>
                <w:sz w:val="24"/>
                <w:szCs w:val="24"/>
              </w:rPr>
            </w:pPr>
            <w:r>
              <w:rPr>
                <w:rFonts w:hint="eastAsia" w:ascii="宋体" w:hAnsi="宋体"/>
                <w:sz w:val="24"/>
                <w:szCs w:val="24"/>
              </w:rPr>
              <w:t>审计溯源</w:t>
            </w:r>
          </w:p>
        </w:tc>
        <w:tc>
          <w:tcPr>
            <w:tcW w:w="7647" w:type="dxa"/>
            <w:shd w:val="clear" w:color="auto" w:fill="FFFFFF"/>
            <w:vAlign w:val="center"/>
          </w:tcPr>
          <w:p w14:paraId="4B43CE09">
            <w:pPr>
              <w:spacing w:line="360" w:lineRule="auto"/>
              <w:ind w:firstLine="480" w:firstLineChars="200"/>
              <w:rPr>
                <w:rFonts w:hint="eastAsia" w:ascii="宋体" w:hAnsi="宋体"/>
                <w:sz w:val="24"/>
                <w:szCs w:val="24"/>
              </w:rPr>
            </w:pPr>
            <w:r>
              <w:rPr>
                <w:rFonts w:hint="eastAsia" w:ascii="宋体" w:hAnsi="宋体"/>
                <w:sz w:val="24"/>
                <w:szCs w:val="24"/>
              </w:rPr>
              <w:t>系统支持日志建模，通过1条日志模型实现多条日志关联溯源查看；支持日志按分类查询，包括：管理员日志、客户端操作日志、策略命中日志、隧道访问日志、web访问日志。</w:t>
            </w:r>
          </w:p>
        </w:tc>
      </w:tr>
      <w:tr w14:paraId="25318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shd w:val="clear" w:color="auto" w:fill="FFFFFF"/>
            <w:vAlign w:val="center"/>
          </w:tcPr>
          <w:p w14:paraId="6466259C">
            <w:pPr>
              <w:spacing w:line="360" w:lineRule="auto"/>
              <w:jc w:val="center"/>
              <w:rPr>
                <w:rFonts w:hint="eastAsia" w:ascii="宋体" w:hAnsi="宋体"/>
                <w:sz w:val="24"/>
                <w:szCs w:val="24"/>
              </w:rPr>
            </w:pPr>
            <w:r>
              <w:rPr>
                <w:rFonts w:hint="eastAsia" w:ascii="宋体" w:hAnsi="宋体"/>
                <w:sz w:val="24"/>
                <w:szCs w:val="24"/>
              </w:rPr>
              <w:t>客户化</w:t>
            </w:r>
          </w:p>
          <w:p w14:paraId="3DBDB721">
            <w:pPr>
              <w:spacing w:line="360" w:lineRule="auto"/>
              <w:jc w:val="center"/>
              <w:rPr>
                <w:rFonts w:hint="eastAsia" w:ascii="宋体" w:hAnsi="宋体"/>
                <w:sz w:val="24"/>
                <w:szCs w:val="24"/>
              </w:rPr>
            </w:pPr>
            <w:r>
              <w:rPr>
                <w:rFonts w:hint="eastAsia" w:ascii="宋体" w:hAnsi="宋体"/>
                <w:sz w:val="24"/>
                <w:szCs w:val="24"/>
              </w:rPr>
              <w:t>定制</w:t>
            </w:r>
          </w:p>
        </w:tc>
        <w:tc>
          <w:tcPr>
            <w:tcW w:w="7647" w:type="dxa"/>
            <w:shd w:val="clear" w:color="auto" w:fill="FFFFFF"/>
            <w:vAlign w:val="center"/>
          </w:tcPr>
          <w:p w14:paraId="32273538">
            <w:pPr>
              <w:spacing w:line="360" w:lineRule="auto"/>
              <w:ind w:firstLine="480" w:firstLineChars="200"/>
              <w:rPr>
                <w:rFonts w:hint="eastAsia" w:ascii="宋体" w:hAnsi="宋体"/>
                <w:sz w:val="24"/>
                <w:szCs w:val="24"/>
              </w:rPr>
            </w:pPr>
            <w:r>
              <w:rPr>
                <w:rFonts w:hint="eastAsia" w:ascii="宋体" w:hAnsi="宋体"/>
                <w:sz w:val="24"/>
                <w:szCs w:val="24"/>
              </w:rPr>
              <w:t>包括管理平台、客户端、下载中心、SDK，管理平台支持客户端的客户化定制，包括：安装包名称、服务器配置、产品名称、LOGO、托盘图标、桌面快捷方式等。</w:t>
            </w:r>
          </w:p>
        </w:tc>
      </w:tr>
    </w:tbl>
    <w:p w14:paraId="777E7905">
      <w:pPr>
        <w:spacing w:line="360" w:lineRule="auto"/>
        <w:ind w:firstLine="480" w:firstLineChars="200"/>
        <w:rPr>
          <w:rFonts w:hint="eastAsia" w:ascii="宋体" w:hAnsi="宋体"/>
          <w:sz w:val="24"/>
          <w:szCs w:val="24"/>
        </w:rPr>
      </w:pPr>
    </w:p>
    <w:p w14:paraId="49F59E17">
      <w:pPr>
        <w:spacing w:line="360" w:lineRule="auto"/>
        <w:ind w:firstLine="482" w:firstLineChars="200"/>
        <w:rPr>
          <w:rFonts w:hint="eastAsia" w:ascii="宋体" w:hAnsi="宋体"/>
          <w:b/>
          <w:bCs/>
          <w:sz w:val="24"/>
          <w:szCs w:val="24"/>
        </w:rPr>
      </w:pPr>
      <w:r>
        <w:rPr>
          <w:rFonts w:hint="eastAsia" w:ascii="宋体" w:hAnsi="宋体"/>
          <w:b/>
          <w:bCs/>
          <w:sz w:val="24"/>
          <w:szCs w:val="24"/>
        </w:rPr>
        <w:t>（3）保垒机设备参数：</w:t>
      </w:r>
    </w:p>
    <w:tbl>
      <w:tblPr>
        <w:tblStyle w:val="458"/>
        <w:tblW w:w="8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328"/>
        <w:gridCol w:w="7647"/>
      </w:tblGrid>
      <w:tr w14:paraId="29933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PrEx>
        <w:tc>
          <w:tcPr>
            <w:tcW w:w="1328" w:type="dxa"/>
            <w:shd w:val="clear" w:color="auto" w:fill="FFFFFF"/>
            <w:vAlign w:val="center"/>
          </w:tcPr>
          <w:p w14:paraId="6EBEBA22">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指标项</w:t>
            </w:r>
          </w:p>
        </w:tc>
        <w:tc>
          <w:tcPr>
            <w:tcW w:w="7647" w:type="dxa"/>
            <w:shd w:val="clear" w:color="auto" w:fill="FFFFFF"/>
            <w:vAlign w:val="bottom"/>
          </w:tcPr>
          <w:p w14:paraId="25F7AC21">
            <w:pPr>
              <w:spacing w:line="360" w:lineRule="auto"/>
              <w:ind w:firstLine="480" w:firstLineChars="200"/>
              <w:jc w:val="center"/>
              <w:rPr>
                <w:rFonts w:hint="eastAsia" w:ascii="宋体" w:hAnsi="宋体" w:cs="Courier New"/>
                <w:kern w:val="0"/>
                <w:sz w:val="24"/>
                <w:szCs w:val="24"/>
              </w:rPr>
            </w:pPr>
            <w:r>
              <w:rPr>
                <w:rFonts w:hint="eastAsia" w:ascii="宋体" w:hAnsi="宋体" w:cs="Courier New"/>
                <w:kern w:val="0"/>
                <w:sz w:val="24"/>
                <w:szCs w:val="24"/>
              </w:rPr>
              <w:t>详细参数</w:t>
            </w:r>
          </w:p>
        </w:tc>
      </w:tr>
      <w:tr w14:paraId="39175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0" w:hRule="atLeast"/>
        </w:trPr>
        <w:tc>
          <w:tcPr>
            <w:tcW w:w="1328" w:type="dxa"/>
            <w:vMerge w:val="restart"/>
            <w:shd w:val="clear" w:color="auto" w:fill="FFFFFF"/>
            <w:vAlign w:val="center"/>
          </w:tcPr>
          <w:p w14:paraId="0FECFC13">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基本要求</w:t>
            </w:r>
          </w:p>
        </w:tc>
        <w:tc>
          <w:tcPr>
            <w:tcW w:w="7647" w:type="dxa"/>
            <w:shd w:val="clear" w:color="auto" w:fill="FFFFFF"/>
          </w:tcPr>
          <w:p w14:paraId="118F14A3">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★采用国产化软硬件一体、标准机架式设备，≥4个100/1000M RJ45自适应以太网口；B/S架构管理，采用HTTPS方式远程安全管理，无需安装管理客户端。</w:t>
            </w:r>
          </w:p>
        </w:tc>
      </w:tr>
      <w:tr w14:paraId="122C2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328" w:type="dxa"/>
            <w:vMerge w:val="continue"/>
            <w:shd w:val="clear" w:color="auto" w:fill="FFFFFF"/>
            <w:vAlign w:val="center"/>
          </w:tcPr>
          <w:p w14:paraId="4FCC9F80">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780FD35A">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★可管理设备数无限制，提供≥200主机授权许可，运维用户数无限制，并发会话数≥1500个；设备内置存储系统，存储空间≥4TB。</w:t>
            </w:r>
          </w:p>
        </w:tc>
      </w:tr>
      <w:tr w14:paraId="2F7B5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1328" w:type="dxa"/>
            <w:shd w:val="clear" w:color="auto" w:fill="FFFFFF"/>
            <w:vAlign w:val="center"/>
          </w:tcPr>
          <w:p w14:paraId="43B1B18F">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危险操作访问控制及异常告警要求</w:t>
            </w:r>
          </w:p>
        </w:tc>
        <w:tc>
          <w:tcPr>
            <w:tcW w:w="7647" w:type="dxa"/>
            <w:shd w:val="clear" w:color="auto" w:fill="FFFFFF"/>
          </w:tcPr>
          <w:p w14:paraId="12F591DE">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支持按用户（用户组）、目标设备（设备组）、系统帐号、命令集和生效时间等内容或按访问授权策略设定安全事件规则。 </w:t>
            </w:r>
          </w:p>
          <w:p w14:paraId="71E9C018">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支持以屏幕、邮件、SYSLOG、Snmp Trap、短信方式实时发送告警信息。</w:t>
            </w:r>
          </w:p>
        </w:tc>
      </w:tr>
      <w:tr w14:paraId="043FA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328" w:type="dxa"/>
            <w:vMerge w:val="restart"/>
            <w:shd w:val="clear" w:color="auto" w:fill="FFFFFF"/>
            <w:vAlign w:val="center"/>
          </w:tcPr>
          <w:p w14:paraId="2B14BBCA">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设备资产运维访问方式要求</w:t>
            </w:r>
          </w:p>
        </w:tc>
        <w:tc>
          <w:tcPr>
            <w:tcW w:w="7647" w:type="dxa"/>
            <w:shd w:val="clear" w:color="auto" w:fill="FFFFFF"/>
          </w:tcPr>
          <w:p w14:paraId="5574FDF6">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Web访问方式:通过系统的Web页面控件直接访问服务器或通过WEB页面调用本地工具（含数据库官方客户端）直接访问服务器。 </w:t>
            </w:r>
          </w:p>
        </w:tc>
      </w:tr>
      <w:tr w14:paraId="1AE74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328" w:type="dxa"/>
            <w:vMerge w:val="continue"/>
            <w:shd w:val="clear" w:color="auto" w:fill="FFFFFF"/>
            <w:vAlign w:val="center"/>
          </w:tcPr>
          <w:p w14:paraId="1A140A5B">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0DDE0EB7">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客户端访问方式：支持通过常用的客户端(如SecureCRT、PUTTY、Mstsc等)直接连接堡垒机再访问到服务器。</w:t>
            </w:r>
          </w:p>
        </w:tc>
      </w:tr>
      <w:tr w14:paraId="19245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15" w:hRule="atLeast"/>
        </w:trPr>
        <w:tc>
          <w:tcPr>
            <w:tcW w:w="1328" w:type="dxa"/>
            <w:vMerge w:val="continue"/>
            <w:shd w:val="clear" w:color="auto" w:fill="FFFFFF"/>
            <w:vAlign w:val="center"/>
          </w:tcPr>
          <w:p w14:paraId="363B4514">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1AD5DA4C">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提供RDP访问限制，只能通过控制台模式访问；提供VNC访问限制，只能通过应用通道访问。 </w:t>
            </w:r>
          </w:p>
        </w:tc>
      </w:tr>
      <w:tr w14:paraId="7C77C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15" w:hRule="atLeast"/>
        </w:trPr>
        <w:tc>
          <w:tcPr>
            <w:tcW w:w="1328" w:type="dxa"/>
            <w:vMerge w:val="continue"/>
            <w:shd w:val="clear" w:color="auto" w:fill="FFFFFF"/>
            <w:vAlign w:val="center"/>
          </w:tcPr>
          <w:p w14:paraId="22BB0425">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7B9ACB57">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▲提供统一运维通道功能，所有协议统一使用运维访问通道模式访问（磋商响应时需提供产品功能截图）。</w:t>
            </w:r>
          </w:p>
        </w:tc>
      </w:tr>
      <w:tr w14:paraId="13520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1328" w:type="dxa"/>
            <w:vMerge w:val="continue"/>
            <w:shd w:val="clear" w:color="auto" w:fill="FFFFFF"/>
            <w:vAlign w:val="center"/>
          </w:tcPr>
          <w:p w14:paraId="1A625EBF">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4AD9745E">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web访问方式支持直接输入目标IP快速连接功能。 </w:t>
            </w:r>
          </w:p>
        </w:tc>
      </w:tr>
      <w:tr w14:paraId="6FEE6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45" w:hRule="atLeast"/>
        </w:trPr>
        <w:tc>
          <w:tcPr>
            <w:tcW w:w="1328" w:type="dxa"/>
            <w:vMerge w:val="continue"/>
            <w:shd w:val="clear" w:color="auto" w:fill="FFFFFF"/>
            <w:vAlign w:val="center"/>
          </w:tcPr>
          <w:p w14:paraId="4E31C9F4">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671D73C0">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▲支持日志关联分析，可直接关联到日志同个会话中的所有操作日志（磋商响应时需提供产品功能截图）。</w:t>
            </w:r>
          </w:p>
        </w:tc>
      </w:tr>
      <w:tr w14:paraId="55EC8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28" w:type="dxa"/>
            <w:vMerge w:val="restart"/>
            <w:shd w:val="clear" w:color="auto" w:fill="FFFFFF"/>
            <w:vAlign w:val="center"/>
          </w:tcPr>
          <w:p w14:paraId="28B17738">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设备资产自动改密要求</w:t>
            </w:r>
          </w:p>
        </w:tc>
        <w:tc>
          <w:tcPr>
            <w:tcW w:w="7647" w:type="dxa"/>
            <w:shd w:val="clear" w:color="auto" w:fill="FFFFFF"/>
          </w:tcPr>
          <w:p w14:paraId="3B375CB6">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改密类型支持Windows、Linux、Unix、AIX、Cisco路由交换、HUAWEI路由交换、H3C路由交换等。</w:t>
            </w:r>
          </w:p>
        </w:tc>
      </w:tr>
      <w:tr w14:paraId="19007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1328" w:type="dxa"/>
            <w:vMerge w:val="continue"/>
            <w:shd w:val="clear" w:color="auto" w:fill="FFFFFF"/>
            <w:vAlign w:val="center"/>
          </w:tcPr>
          <w:p w14:paraId="6D663752">
            <w:pPr>
              <w:spacing w:line="360" w:lineRule="auto"/>
              <w:ind w:firstLine="480" w:firstLineChars="200"/>
              <w:rPr>
                <w:rFonts w:hint="eastAsia" w:ascii="宋体" w:hAnsi="宋体" w:cs="Courier New"/>
                <w:kern w:val="0"/>
                <w:sz w:val="24"/>
                <w:szCs w:val="24"/>
              </w:rPr>
            </w:pPr>
          </w:p>
        </w:tc>
        <w:tc>
          <w:tcPr>
            <w:tcW w:w="7647" w:type="dxa"/>
            <w:shd w:val="clear" w:color="auto" w:fill="FFFFFF"/>
          </w:tcPr>
          <w:p w14:paraId="05654479">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主机类型及账号改密方式支持自定义配置，支持使用agent方式修改主机密码。 </w:t>
            </w:r>
          </w:p>
        </w:tc>
      </w:tr>
      <w:tr w14:paraId="071DF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1" w:hRule="atLeast"/>
        </w:trPr>
        <w:tc>
          <w:tcPr>
            <w:tcW w:w="1328" w:type="dxa"/>
            <w:shd w:val="clear" w:color="auto" w:fill="FFFFFF"/>
            <w:vAlign w:val="center"/>
          </w:tcPr>
          <w:p w14:paraId="41DC5912">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实时监控</w:t>
            </w:r>
          </w:p>
        </w:tc>
        <w:tc>
          <w:tcPr>
            <w:tcW w:w="7647" w:type="dxa"/>
            <w:shd w:val="clear" w:color="auto" w:fill="FFFFFF"/>
          </w:tcPr>
          <w:p w14:paraId="3D51D324">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支持实时监控近期发生的所有会话信息，显示会话状态（连接中、退出、阻断）。</w:t>
            </w:r>
          </w:p>
        </w:tc>
      </w:tr>
      <w:tr w14:paraId="2B1B7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1328" w:type="dxa"/>
            <w:shd w:val="clear" w:color="auto" w:fill="FFFFFF"/>
            <w:vAlign w:val="center"/>
          </w:tcPr>
          <w:p w14:paraId="229F87CF">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历史查询及审计报表</w:t>
            </w:r>
          </w:p>
        </w:tc>
        <w:tc>
          <w:tcPr>
            <w:tcW w:w="7647" w:type="dxa"/>
            <w:shd w:val="clear" w:color="auto" w:fill="FFFFFF"/>
          </w:tcPr>
          <w:p w14:paraId="5D29E3F8">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支持单一条件快速查询、查询结果二次过滤以及多重条件组合高级查询功能。</w:t>
            </w:r>
          </w:p>
        </w:tc>
      </w:tr>
      <w:tr w14:paraId="2A124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87" w:hRule="atLeast"/>
        </w:trPr>
        <w:tc>
          <w:tcPr>
            <w:tcW w:w="1328" w:type="dxa"/>
            <w:vMerge w:val="restart"/>
            <w:shd w:val="clear" w:color="auto" w:fill="FFFFFF"/>
            <w:vAlign w:val="center"/>
          </w:tcPr>
          <w:p w14:paraId="58B52F95">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数据安全管理要求</w:t>
            </w:r>
          </w:p>
        </w:tc>
        <w:tc>
          <w:tcPr>
            <w:tcW w:w="7647" w:type="dxa"/>
            <w:shd w:val="clear" w:color="auto" w:fill="FFFFFF"/>
          </w:tcPr>
          <w:p w14:paraId="39EF3D5F">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支持自动归档和手动备份、支持以FTP/SFTP等方式自动上传归档数据。</w:t>
            </w:r>
          </w:p>
        </w:tc>
      </w:tr>
      <w:tr w14:paraId="4CA3B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87" w:hRule="atLeast"/>
        </w:trPr>
        <w:tc>
          <w:tcPr>
            <w:tcW w:w="1328" w:type="dxa"/>
            <w:vMerge w:val="continue"/>
            <w:shd w:val="clear" w:color="auto" w:fill="FFFFFF"/>
            <w:vAlign w:val="center"/>
          </w:tcPr>
          <w:p w14:paraId="1979CCD8">
            <w:pPr>
              <w:spacing w:line="360" w:lineRule="auto"/>
              <w:ind w:firstLine="480" w:firstLineChars="200"/>
              <w:jc w:val="center"/>
              <w:rPr>
                <w:rFonts w:hint="eastAsia" w:ascii="宋体" w:hAnsi="宋体" w:cs="Courier New"/>
                <w:kern w:val="0"/>
                <w:sz w:val="24"/>
                <w:szCs w:val="24"/>
              </w:rPr>
            </w:pPr>
          </w:p>
        </w:tc>
        <w:tc>
          <w:tcPr>
            <w:tcW w:w="7647" w:type="dxa"/>
            <w:shd w:val="clear" w:color="auto" w:fill="FFFFFF"/>
          </w:tcPr>
          <w:p w14:paraId="70B436B5">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▲提供云备份存储接口，支持天翼云、阿里云、百度云、腾讯云、华为云、沃云、移动云等多家云存储供应商接口（磋商响应时需提供产品功能截图，功能截图中需要至少五个云存储供应商接口）。 </w:t>
            </w:r>
          </w:p>
        </w:tc>
      </w:tr>
      <w:tr w14:paraId="7EF30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328" w:type="dxa"/>
            <w:shd w:val="clear" w:color="auto" w:fill="FFFFFF"/>
            <w:vAlign w:val="center"/>
          </w:tcPr>
          <w:p w14:paraId="40F4AF2A">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消息中心功能要求</w:t>
            </w:r>
          </w:p>
        </w:tc>
        <w:tc>
          <w:tcPr>
            <w:tcW w:w="7647" w:type="dxa"/>
            <w:shd w:val="clear" w:color="auto" w:fill="FFFFFF"/>
          </w:tcPr>
          <w:p w14:paraId="05F0B8ED">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支持工作任务流程及消息中心管理功能：支持用户间互相发送消息，通过消息下发工作任务等功能。 </w:t>
            </w:r>
          </w:p>
        </w:tc>
      </w:tr>
      <w:tr w14:paraId="0475E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50" w:hRule="atLeast"/>
        </w:trPr>
        <w:tc>
          <w:tcPr>
            <w:tcW w:w="1328" w:type="dxa"/>
            <w:vMerge w:val="restart"/>
            <w:shd w:val="clear" w:color="auto" w:fill="FFFFFF"/>
            <w:vAlign w:val="center"/>
          </w:tcPr>
          <w:p w14:paraId="4C6D1A4D">
            <w:pPr>
              <w:spacing w:line="360" w:lineRule="auto"/>
              <w:jc w:val="center"/>
              <w:rPr>
                <w:rFonts w:hint="eastAsia" w:ascii="宋体" w:hAnsi="宋体" w:cs="Courier New"/>
                <w:kern w:val="0"/>
                <w:sz w:val="24"/>
                <w:szCs w:val="24"/>
              </w:rPr>
            </w:pPr>
            <w:r>
              <w:rPr>
                <w:rFonts w:hint="eastAsia" w:ascii="宋体" w:hAnsi="宋体" w:cs="Courier New"/>
                <w:kern w:val="0"/>
                <w:sz w:val="24"/>
                <w:szCs w:val="24"/>
              </w:rPr>
              <w:t>系统管理功能要求</w:t>
            </w:r>
          </w:p>
        </w:tc>
        <w:tc>
          <w:tcPr>
            <w:tcW w:w="7647" w:type="dxa"/>
            <w:shd w:val="clear" w:color="auto" w:fill="FFFFFF"/>
          </w:tcPr>
          <w:p w14:paraId="1096CE52">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 xml:space="preserve">支持升级中心功能，提供手动和自动升级，自动升级可以配置升级服务器地址、开始时间、选择补丁升级或版本升级。 </w:t>
            </w:r>
          </w:p>
        </w:tc>
      </w:tr>
      <w:tr w14:paraId="66AB6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328" w:type="dxa"/>
            <w:vMerge w:val="continue"/>
            <w:shd w:val="clear" w:color="auto" w:fill="FFFFFF"/>
            <w:vAlign w:val="center"/>
          </w:tcPr>
          <w:p w14:paraId="3ACBA01F">
            <w:pPr>
              <w:spacing w:line="360" w:lineRule="auto"/>
              <w:ind w:firstLine="480" w:firstLineChars="200"/>
              <w:rPr>
                <w:rFonts w:hint="eastAsia" w:ascii="宋体" w:hAnsi="宋体" w:cs="Courier New"/>
                <w:kern w:val="0"/>
                <w:sz w:val="24"/>
                <w:szCs w:val="24"/>
              </w:rPr>
            </w:pPr>
          </w:p>
        </w:tc>
        <w:tc>
          <w:tcPr>
            <w:tcW w:w="7647" w:type="dxa"/>
            <w:shd w:val="clear" w:color="auto" w:fill="FFFFFF"/>
          </w:tcPr>
          <w:p w14:paraId="30CA9463">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支持将所有运维日志通过SYSLOG外发，支持系统告警日志发送。</w:t>
            </w:r>
          </w:p>
        </w:tc>
      </w:tr>
      <w:tr w14:paraId="282B5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328" w:type="dxa"/>
            <w:vMerge w:val="continue"/>
            <w:shd w:val="clear" w:color="auto" w:fill="FFFFFF"/>
            <w:vAlign w:val="center"/>
          </w:tcPr>
          <w:p w14:paraId="597283EC">
            <w:pPr>
              <w:spacing w:line="360" w:lineRule="auto"/>
              <w:ind w:firstLine="480" w:firstLineChars="200"/>
              <w:rPr>
                <w:rFonts w:hint="eastAsia" w:ascii="宋体" w:hAnsi="宋体" w:cs="Courier New"/>
                <w:kern w:val="0"/>
                <w:sz w:val="24"/>
                <w:szCs w:val="24"/>
              </w:rPr>
            </w:pPr>
          </w:p>
        </w:tc>
        <w:tc>
          <w:tcPr>
            <w:tcW w:w="7647" w:type="dxa"/>
            <w:shd w:val="clear" w:color="auto" w:fill="FFFFFF"/>
          </w:tcPr>
          <w:p w14:paraId="193BDA1D">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▲支持对数据国密加密配置及通迅国密加密配置（磋商响应时需提供产品功能截图）。</w:t>
            </w:r>
          </w:p>
        </w:tc>
      </w:tr>
      <w:tr w14:paraId="2AE6A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1328" w:type="dxa"/>
            <w:vMerge w:val="continue"/>
            <w:shd w:val="clear" w:color="auto" w:fill="FFFFFF"/>
            <w:vAlign w:val="center"/>
          </w:tcPr>
          <w:p w14:paraId="2254F875">
            <w:pPr>
              <w:spacing w:line="360" w:lineRule="auto"/>
              <w:ind w:firstLine="480" w:firstLineChars="200"/>
              <w:rPr>
                <w:rFonts w:hint="eastAsia" w:ascii="宋体" w:hAnsi="宋体" w:cs="Courier New"/>
                <w:kern w:val="0"/>
                <w:sz w:val="24"/>
                <w:szCs w:val="24"/>
              </w:rPr>
            </w:pPr>
          </w:p>
        </w:tc>
        <w:tc>
          <w:tcPr>
            <w:tcW w:w="7647" w:type="dxa"/>
            <w:shd w:val="clear" w:color="auto" w:fill="FFFFFF"/>
          </w:tcPr>
          <w:p w14:paraId="30CC5BB3">
            <w:pPr>
              <w:spacing w:line="360" w:lineRule="auto"/>
              <w:ind w:firstLine="480" w:firstLineChars="200"/>
              <w:rPr>
                <w:rFonts w:hint="eastAsia" w:ascii="宋体" w:hAnsi="宋体" w:cs="Courier New"/>
                <w:kern w:val="0"/>
                <w:sz w:val="24"/>
                <w:szCs w:val="24"/>
              </w:rPr>
            </w:pPr>
            <w:r>
              <w:rPr>
                <w:rFonts w:hint="eastAsia" w:ascii="宋体" w:hAnsi="宋体" w:cs="Courier New"/>
                <w:kern w:val="0"/>
                <w:sz w:val="24"/>
                <w:szCs w:val="24"/>
              </w:rPr>
              <w:t>▲支持修改不同访问模式（客户端直连、菜单方式）的默认访问端口（磋商响应时需提供产品功能截图）。</w:t>
            </w:r>
          </w:p>
        </w:tc>
      </w:tr>
    </w:tbl>
    <w:p w14:paraId="6DDC66AF">
      <w:pPr>
        <w:spacing w:line="360" w:lineRule="auto"/>
        <w:ind w:firstLine="480" w:firstLineChars="200"/>
        <w:rPr>
          <w:rFonts w:hint="eastAsia" w:ascii="宋体" w:hAnsi="宋体"/>
          <w:sz w:val="24"/>
          <w:szCs w:val="24"/>
          <w:lang w:val="ru-RU"/>
        </w:rPr>
      </w:pPr>
      <w:r>
        <w:rPr>
          <w:rFonts w:hint="eastAsia" w:ascii="宋体" w:hAnsi="宋体"/>
          <w:sz w:val="24"/>
          <w:szCs w:val="24"/>
          <w:lang w:val="ru-RU"/>
        </w:rPr>
        <w:t>备注：</w:t>
      </w:r>
    </w:p>
    <w:bookmarkEnd w:id="53"/>
    <w:p w14:paraId="3B5C3C63">
      <w:pPr>
        <w:adjustRightInd w:val="0"/>
        <w:snapToGrid w:val="0"/>
        <w:spacing w:line="360" w:lineRule="auto"/>
        <w:ind w:firstLine="480" w:firstLineChars="200"/>
        <w:jc w:val="left"/>
        <w:rPr>
          <w:rFonts w:hint="eastAsia" w:ascii="宋体" w:hAnsi="宋体"/>
          <w:sz w:val="24"/>
          <w:szCs w:val="24"/>
          <w:lang w:val="ru-RU"/>
        </w:rPr>
      </w:pPr>
      <w:r>
        <w:rPr>
          <w:rFonts w:hint="eastAsia" w:ascii="宋体" w:hAnsi="宋体"/>
          <w:sz w:val="24"/>
          <w:szCs w:val="24"/>
        </w:rPr>
        <w:t>1、租赁</w:t>
      </w:r>
      <w:r>
        <w:rPr>
          <w:rFonts w:hint="eastAsia" w:ascii="宋体" w:hAnsi="宋体"/>
          <w:sz w:val="24"/>
          <w:szCs w:val="24"/>
          <w:lang w:val="ru-RU"/>
        </w:rPr>
        <w:t>设备</w:t>
      </w:r>
      <w:r>
        <w:rPr>
          <w:rFonts w:hint="eastAsia" w:ascii="宋体" w:hAnsi="宋体"/>
          <w:sz w:val="24"/>
          <w:szCs w:val="24"/>
        </w:rPr>
        <w:t>产品</w:t>
      </w:r>
      <w:r>
        <w:rPr>
          <w:rFonts w:hint="eastAsia" w:ascii="宋体" w:hAnsi="宋体"/>
          <w:sz w:val="24"/>
          <w:szCs w:val="24"/>
          <w:lang w:val="ru-RU"/>
        </w:rPr>
        <w:t xml:space="preserve">技术参数要求中★项为必须满足项，不接受负偏离。 </w:t>
      </w:r>
    </w:p>
    <w:p w14:paraId="5C8582B2">
      <w:pPr>
        <w:adjustRightInd w:val="0"/>
        <w:snapToGrid w:val="0"/>
        <w:spacing w:line="360" w:lineRule="auto"/>
        <w:ind w:firstLine="480" w:firstLineChars="200"/>
        <w:jc w:val="left"/>
        <w:rPr>
          <w:rFonts w:hint="eastAsia" w:ascii="宋体" w:hAnsi="宋体"/>
          <w:sz w:val="24"/>
          <w:szCs w:val="24"/>
          <w:lang w:val="ru-RU"/>
        </w:rPr>
      </w:pPr>
      <w:r>
        <w:rPr>
          <w:rFonts w:hint="eastAsia" w:ascii="宋体" w:hAnsi="宋体"/>
          <w:sz w:val="24"/>
          <w:szCs w:val="24"/>
        </w:rPr>
        <w:t>2、本</w:t>
      </w:r>
      <w:r>
        <w:rPr>
          <w:rFonts w:hint="eastAsia" w:ascii="宋体" w:hAnsi="宋体"/>
          <w:sz w:val="24"/>
          <w:szCs w:val="24"/>
          <w:lang w:val="ru-RU"/>
        </w:rPr>
        <w:t>次项目产品技术参数中所涉及的功能截图、参数证明材料等在磋商响应时需提供具体的证明材料并加盖响应供应商公章。响应供应商提供的所有磋商响应资料（含资质及产品证明材料等）必须真实可靠，否则予以无效响应处理，同时列入政府采购违法失信行为记录名单，如有违法行为的须承担相应法律责任。</w:t>
      </w:r>
    </w:p>
    <w:p w14:paraId="08F3D39D">
      <w:pPr>
        <w:adjustRightInd w:val="0"/>
        <w:snapToGrid w:val="0"/>
        <w:spacing w:line="360" w:lineRule="auto"/>
        <w:ind w:firstLine="480" w:firstLineChars="200"/>
        <w:jc w:val="left"/>
        <w:rPr>
          <w:rFonts w:hint="eastAsia" w:ascii="宋体" w:hAnsi="宋体"/>
          <w:sz w:val="24"/>
          <w:szCs w:val="24"/>
          <w:lang w:val="ru-RU"/>
        </w:rPr>
      </w:pPr>
      <w:r>
        <w:rPr>
          <w:rFonts w:hint="eastAsia" w:ascii="宋体" w:hAnsi="宋体"/>
          <w:sz w:val="24"/>
          <w:szCs w:val="24"/>
        </w:rPr>
        <w:t>3、</w:t>
      </w:r>
      <w:r>
        <w:rPr>
          <w:rFonts w:hint="eastAsia" w:ascii="宋体" w:hAnsi="宋体"/>
          <w:sz w:val="24"/>
          <w:szCs w:val="24"/>
          <w:lang w:val="ru-RU"/>
        </w:rPr>
        <w:t>为保障所租赁的设备能达到预期效果，必要时用户有权要求</w:t>
      </w:r>
      <w:r>
        <w:rPr>
          <w:rFonts w:hint="eastAsia" w:ascii="宋体" w:hAnsi="宋体"/>
          <w:bCs/>
          <w:sz w:val="24"/>
          <w:szCs w:val="24"/>
        </w:rPr>
        <w:t>成交</w:t>
      </w:r>
      <w:r>
        <w:rPr>
          <w:rFonts w:hint="eastAsia" w:ascii="宋体" w:hAnsi="宋体" w:cs="宋体"/>
          <w:kern w:val="0"/>
          <w:sz w:val="24"/>
          <w:szCs w:val="24"/>
        </w:rPr>
        <w:t>服务商</w:t>
      </w:r>
      <w:r>
        <w:rPr>
          <w:rFonts w:hint="eastAsia" w:ascii="宋体" w:hAnsi="宋体"/>
          <w:sz w:val="24"/>
          <w:szCs w:val="24"/>
          <w:lang w:val="ru-RU"/>
        </w:rPr>
        <w:t>在成交后七个工作日内提供项目</w:t>
      </w:r>
      <w:r>
        <w:rPr>
          <w:rFonts w:hint="eastAsia" w:ascii="宋体" w:hAnsi="宋体"/>
          <w:sz w:val="24"/>
          <w:szCs w:val="24"/>
        </w:rPr>
        <w:t>中</w:t>
      </w:r>
      <w:r>
        <w:rPr>
          <w:rFonts w:hint="eastAsia" w:ascii="宋体" w:hAnsi="宋体"/>
          <w:sz w:val="24"/>
          <w:szCs w:val="24"/>
          <w:lang w:val="ru-RU"/>
        </w:rPr>
        <w:t>租赁的</w:t>
      </w:r>
      <w:r>
        <w:rPr>
          <w:rFonts w:hint="eastAsia" w:ascii="宋体" w:hAnsi="宋体"/>
          <w:sz w:val="24"/>
          <w:szCs w:val="24"/>
        </w:rPr>
        <w:t>设备</w:t>
      </w:r>
      <w:r>
        <w:rPr>
          <w:rFonts w:hint="eastAsia" w:ascii="宋体" w:hAnsi="宋体"/>
          <w:sz w:val="24"/>
          <w:szCs w:val="24"/>
          <w:lang w:val="ru-RU"/>
        </w:rPr>
        <w:t>进行功能性测试，发现虚假应标的将取消其成交资格。给采购人造成损失的,依法承担法律责任。</w:t>
      </w:r>
    </w:p>
    <w:p w14:paraId="0D09E58F">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（四）采购标的数量、采购项目交付或者实施的时间和地点;</w:t>
      </w:r>
    </w:p>
    <w:p w14:paraId="4FB86947">
      <w:pPr>
        <w:spacing w:line="360" w:lineRule="auto"/>
        <w:ind w:firstLine="240" w:firstLineChars="100"/>
        <w:rPr>
          <w:rFonts w:hint="eastAsia" w:ascii="宋体" w:hAnsi="宋体"/>
          <w:sz w:val="24"/>
          <w:szCs w:val="24"/>
          <w:shd w:val="clear" w:color="auto" w:fill="FFFFFF"/>
        </w:rPr>
      </w:pPr>
      <w:r>
        <w:rPr>
          <w:rFonts w:ascii="宋体" w:hAnsi="宋体"/>
          <w:sz w:val="24"/>
          <w:szCs w:val="24"/>
          <w:shd w:val="clear" w:color="auto" w:fill="FFFFFF"/>
        </w:rPr>
        <w:t>1</w:t>
      </w:r>
      <w:r>
        <w:rPr>
          <w:rFonts w:hint="eastAsia" w:ascii="宋体" w:hAnsi="宋体"/>
          <w:sz w:val="24"/>
          <w:szCs w:val="24"/>
          <w:shd w:val="clear" w:color="auto" w:fill="FFFFFF"/>
        </w:rPr>
        <w:t>、采</w:t>
      </w:r>
      <w:r>
        <w:rPr>
          <w:rFonts w:ascii="宋体" w:hAnsi="宋体"/>
          <w:sz w:val="24"/>
          <w:szCs w:val="24"/>
          <w:shd w:val="clear" w:color="auto" w:fill="FFFFFF"/>
        </w:rPr>
        <w:t>购标的数量</w:t>
      </w:r>
      <w:r>
        <w:rPr>
          <w:rFonts w:hint="eastAsia" w:ascii="宋体" w:hAnsi="宋体"/>
          <w:sz w:val="24"/>
          <w:szCs w:val="24"/>
          <w:shd w:val="clear" w:color="auto" w:fill="FFFFFF"/>
        </w:rPr>
        <w:t>：</w:t>
      </w:r>
    </w:p>
    <w:p w14:paraId="70ABA9D3">
      <w:pPr>
        <w:ind w:firstLine="240" w:firstLineChars="100"/>
        <w:rPr>
          <w:rFonts w:hint="eastAsia" w:ascii="宋体" w:hAnsi="宋体"/>
          <w:sz w:val="24"/>
          <w:szCs w:val="24"/>
          <w:shd w:val="clear" w:color="auto" w:fill="FFFFFF"/>
        </w:rPr>
      </w:pPr>
    </w:p>
    <w:tbl>
      <w:tblPr>
        <w:tblStyle w:val="459"/>
        <w:tblW w:w="822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1672"/>
        <w:gridCol w:w="4849"/>
        <w:gridCol w:w="992"/>
      </w:tblGrid>
      <w:tr w14:paraId="5EEE8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222" w:type="dxa"/>
            <w:gridSpan w:val="4"/>
            <w:tcBorders>
              <w:bottom w:val="single" w:color="auto" w:sz="4" w:space="0"/>
            </w:tcBorders>
            <w:shd w:val="clear" w:color="auto" w:fill="C6D9F0"/>
            <w:vAlign w:val="center"/>
          </w:tcPr>
          <w:p w14:paraId="049EE61D">
            <w:pPr>
              <w:jc w:val="center"/>
              <w:rPr>
                <w:rFonts w:hint="eastAsia" w:ascii="宋体" w:hAnsi="宋体" w:cs="Courier New"/>
                <w:kern w:val="0"/>
                <w:sz w:val="24"/>
                <w:szCs w:val="24"/>
              </w:rPr>
            </w:pPr>
            <w:bookmarkStart w:id="54" w:name="_Hlk191282556"/>
            <w:r>
              <w:rPr>
                <w:rFonts w:hint="eastAsia" w:ascii="宋体" w:hAnsi="宋体" w:cs="Courier New"/>
                <w:kern w:val="0"/>
                <w:sz w:val="24"/>
                <w:szCs w:val="24"/>
              </w:rPr>
              <w:t>设备一年维保服务清单</w:t>
            </w:r>
          </w:p>
        </w:tc>
      </w:tr>
      <w:tr w14:paraId="0A99A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09" w:type="dxa"/>
            <w:tcBorders>
              <w:bottom w:val="single" w:color="auto" w:sz="4" w:space="0"/>
            </w:tcBorders>
            <w:shd w:val="clear" w:color="auto" w:fill="C6D9F0"/>
            <w:vAlign w:val="center"/>
          </w:tcPr>
          <w:p w14:paraId="00BFCBFA">
            <w:pPr>
              <w:jc w:val="center"/>
              <w:rPr>
                <w:rFonts w:hint="eastAsia" w:ascii="宋体" w:hAnsi="宋体" w:cs="Courier New"/>
                <w:kern w:val="0"/>
                <w:sz w:val="24"/>
                <w:szCs w:val="24"/>
              </w:rPr>
            </w:pPr>
            <w:r>
              <w:rPr>
                <w:rFonts w:hint="eastAsia" w:ascii="宋体" w:hAnsi="宋体" w:cs="Courier New"/>
                <w:kern w:val="0"/>
                <w:sz w:val="24"/>
                <w:szCs w:val="24"/>
              </w:rPr>
              <w:t>序号</w:t>
            </w:r>
          </w:p>
        </w:tc>
        <w:tc>
          <w:tcPr>
            <w:tcW w:w="1672" w:type="dxa"/>
            <w:tcBorders>
              <w:bottom w:val="single" w:color="auto" w:sz="4" w:space="0"/>
            </w:tcBorders>
            <w:shd w:val="clear" w:color="auto" w:fill="C6D9F0"/>
            <w:vAlign w:val="center"/>
          </w:tcPr>
          <w:p w14:paraId="5900DA29">
            <w:pPr>
              <w:jc w:val="center"/>
              <w:rPr>
                <w:rFonts w:hint="eastAsia" w:ascii="宋体" w:hAnsi="宋体" w:cs="Courier New"/>
                <w:kern w:val="0"/>
                <w:sz w:val="24"/>
                <w:szCs w:val="24"/>
              </w:rPr>
            </w:pPr>
            <w:r>
              <w:rPr>
                <w:rFonts w:hint="eastAsia" w:ascii="宋体" w:hAnsi="宋体" w:cs="Courier New"/>
                <w:kern w:val="0"/>
                <w:sz w:val="24"/>
                <w:szCs w:val="24"/>
              </w:rPr>
              <w:t>品名</w:t>
            </w:r>
          </w:p>
        </w:tc>
        <w:tc>
          <w:tcPr>
            <w:tcW w:w="4849" w:type="dxa"/>
            <w:tcBorders>
              <w:bottom w:val="single" w:color="auto" w:sz="4" w:space="0"/>
            </w:tcBorders>
            <w:shd w:val="clear" w:color="auto" w:fill="C6D9F0"/>
            <w:vAlign w:val="center"/>
          </w:tcPr>
          <w:p w14:paraId="10BE3469">
            <w:pPr>
              <w:jc w:val="center"/>
              <w:rPr>
                <w:rFonts w:hint="eastAsia" w:ascii="宋体" w:hAnsi="宋体" w:cs="Courier New"/>
                <w:kern w:val="0"/>
                <w:sz w:val="24"/>
                <w:szCs w:val="24"/>
              </w:rPr>
            </w:pPr>
            <w:r>
              <w:rPr>
                <w:rFonts w:hint="eastAsia" w:ascii="宋体" w:hAnsi="宋体" w:cs="Courier New"/>
                <w:kern w:val="0"/>
                <w:sz w:val="24"/>
                <w:szCs w:val="24"/>
              </w:rPr>
              <w:t>设备型号</w:t>
            </w:r>
          </w:p>
        </w:tc>
        <w:tc>
          <w:tcPr>
            <w:tcW w:w="992" w:type="dxa"/>
            <w:tcBorders>
              <w:bottom w:val="single" w:color="auto" w:sz="4" w:space="0"/>
            </w:tcBorders>
            <w:shd w:val="clear" w:color="auto" w:fill="C6D9F0"/>
            <w:vAlign w:val="center"/>
          </w:tcPr>
          <w:p w14:paraId="6BED5318">
            <w:pPr>
              <w:jc w:val="center"/>
              <w:rPr>
                <w:rFonts w:hint="eastAsia" w:ascii="宋体" w:hAnsi="宋体" w:cs="Courier New"/>
                <w:kern w:val="0"/>
                <w:sz w:val="24"/>
                <w:szCs w:val="24"/>
              </w:rPr>
            </w:pPr>
            <w:r>
              <w:rPr>
                <w:rFonts w:hint="eastAsia" w:ascii="宋体" w:hAnsi="宋体" w:cs="Courier New"/>
                <w:kern w:val="0"/>
                <w:sz w:val="24"/>
                <w:szCs w:val="24"/>
              </w:rPr>
              <w:t>数量</w:t>
            </w:r>
          </w:p>
        </w:tc>
      </w:tr>
      <w:tr w14:paraId="589BF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09" w:type="dxa"/>
            <w:vAlign w:val="center"/>
          </w:tcPr>
          <w:p w14:paraId="449BB28E">
            <w:pPr>
              <w:jc w:val="center"/>
              <w:rPr>
                <w:rFonts w:hint="eastAsia" w:ascii="宋体" w:hAnsi="宋体" w:cs="Courier New"/>
                <w:kern w:val="0"/>
                <w:sz w:val="24"/>
                <w:szCs w:val="24"/>
              </w:rPr>
            </w:pPr>
            <w:r>
              <w:rPr>
                <w:rFonts w:hint="eastAsia" w:ascii="宋体" w:hAnsi="宋体" w:cs="Courier New"/>
                <w:kern w:val="0"/>
                <w:sz w:val="24"/>
                <w:szCs w:val="24"/>
              </w:rPr>
              <w:t>1</w:t>
            </w:r>
          </w:p>
        </w:tc>
        <w:tc>
          <w:tcPr>
            <w:tcW w:w="1672" w:type="dxa"/>
            <w:vAlign w:val="center"/>
          </w:tcPr>
          <w:p w14:paraId="241DC429">
            <w:pPr>
              <w:widowControl/>
              <w:jc w:val="center"/>
              <w:rPr>
                <w:rFonts w:hint="eastAsia" w:ascii="宋体" w:hAnsi="宋体" w:cs="宋体"/>
                <w:kern w:val="0"/>
                <w:sz w:val="24"/>
                <w:szCs w:val="24"/>
              </w:rPr>
            </w:pPr>
            <w:r>
              <w:rPr>
                <w:rFonts w:hint="eastAsia" w:ascii="宋体" w:hAnsi="宋体" w:cs="宋体"/>
                <w:kern w:val="0"/>
                <w:sz w:val="24"/>
                <w:szCs w:val="24"/>
              </w:rPr>
              <w:t>EMC存储</w:t>
            </w:r>
          </w:p>
        </w:tc>
        <w:tc>
          <w:tcPr>
            <w:tcW w:w="4849" w:type="dxa"/>
            <w:vAlign w:val="center"/>
          </w:tcPr>
          <w:p w14:paraId="24FB12D1">
            <w:pPr>
              <w:widowControl/>
              <w:jc w:val="left"/>
              <w:rPr>
                <w:rFonts w:hint="eastAsia" w:ascii="宋体" w:hAnsi="宋体" w:cs="宋体"/>
                <w:kern w:val="0"/>
                <w:sz w:val="24"/>
                <w:szCs w:val="24"/>
              </w:rPr>
            </w:pPr>
            <w:r>
              <w:rPr>
                <w:rFonts w:hint="eastAsia" w:ascii="宋体" w:hAnsi="宋体" w:cs="宋体"/>
                <w:kern w:val="0"/>
                <w:sz w:val="24"/>
                <w:szCs w:val="24"/>
              </w:rPr>
              <w:t>VNX5800机头(含扩展柜、磁盘，容量160T)</w:t>
            </w:r>
          </w:p>
        </w:tc>
        <w:tc>
          <w:tcPr>
            <w:tcW w:w="992" w:type="dxa"/>
            <w:vAlign w:val="center"/>
          </w:tcPr>
          <w:p w14:paraId="4F0D9F10">
            <w:pPr>
              <w:widowControl/>
              <w:jc w:val="center"/>
              <w:rPr>
                <w:rFonts w:hint="eastAsia" w:ascii="宋体" w:hAnsi="宋体" w:cs="宋体"/>
                <w:kern w:val="0"/>
                <w:sz w:val="24"/>
                <w:szCs w:val="24"/>
              </w:rPr>
            </w:pPr>
            <w:r>
              <w:rPr>
                <w:rFonts w:hint="eastAsia" w:ascii="宋体" w:hAnsi="宋体" w:cs="宋体"/>
                <w:kern w:val="0"/>
                <w:sz w:val="24"/>
                <w:szCs w:val="24"/>
              </w:rPr>
              <w:t>1套</w:t>
            </w:r>
          </w:p>
        </w:tc>
      </w:tr>
      <w:tr w14:paraId="67640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72AEA2E4">
            <w:pPr>
              <w:jc w:val="center"/>
              <w:rPr>
                <w:rFonts w:hint="eastAsia" w:ascii="宋体" w:hAnsi="宋体" w:cs="Courier New"/>
                <w:kern w:val="0"/>
                <w:sz w:val="24"/>
                <w:szCs w:val="24"/>
              </w:rPr>
            </w:pPr>
            <w:r>
              <w:rPr>
                <w:rFonts w:hint="eastAsia" w:ascii="宋体" w:hAnsi="宋体" w:cs="Courier New"/>
                <w:kern w:val="0"/>
                <w:sz w:val="24"/>
                <w:szCs w:val="24"/>
              </w:rPr>
              <w:t>2</w:t>
            </w:r>
          </w:p>
        </w:tc>
        <w:tc>
          <w:tcPr>
            <w:tcW w:w="1672" w:type="dxa"/>
            <w:vAlign w:val="center"/>
          </w:tcPr>
          <w:p w14:paraId="30ABFAFE">
            <w:pPr>
              <w:widowControl/>
              <w:jc w:val="center"/>
              <w:rPr>
                <w:rFonts w:hint="eastAsia" w:ascii="宋体" w:hAnsi="宋体" w:cs="宋体"/>
                <w:kern w:val="0"/>
                <w:sz w:val="24"/>
                <w:szCs w:val="24"/>
              </w:rPr>
            </w:pPr>
            <w:r>
              <w:rPr>
                <w:rFonts w:hint="eastAsia" w:ascii="宋体" w:hAnsi="宋体" w:cs="宋体"/>
                <w:kern w:val="0"/>
                <w:sz w:val="24"/>
                <w:szCs w:val="24"/>
              </w:rPr>
              <w:t>EMC存储</w:t>
            </w:r>
          </w:p>
        </w:tc>
        <w:tc>
          <w:tcPr>
            <w:tcW w:w="4849" w:type="dxa"/>
            <w:vAlign w:val="center"/>
          </w:tcPr>
          <w:p w14:paraId="50C8A6FB">
            <w:pPr>
              <w:widowControl/>
              <w:jc w:val="left"/>
              <w:rPr>
                <w:rFonts w:hint="eastAsia" w:ascii="宋体" w:hAnsi="宋体" w:cs="宋体"/>
                <w:kern w:val="0"/>
                <w:sz w:val="24"/>
                <w:szCs w:val="24"/>
              </w:rPr>
            </w:pPr>
            <w:r>
              <w:rPr>
                <w:rFonts w:hint="eastAsia" w:ascii="宋体" w:hAnsi="宋体" w:cs="宋体"/>
                <w:kern w:val="0"/>
                <w:sz w:val="24"/>
                <w:szCs w:val="24"/>
              </w:rPr>
              <w:t>Unity300机头（25块1.2T 10K 2.5寸SAS热插拔硬盘）</w:t>
            </w:r>
          </w:p>
        </w:tc>
        <w:tc>
          <w:tcPr>
            <w:tcW w:w="992" w:type="dxa"/>
            <w:vAlign w:val="center"/>
          </w:tcPr>
          <w:p w14:paraId="3CBADAAD">
            <w:pPr>
              <w:widowControl/>
              <w:jc w:val="center"/>
              <w:rPr>
                <w:rFonts w:hint="eastAsia" w:ascii="宋体" w:hAnsi="宋体" w:cs="宋体"/>
                <w:kern w:val="0"/>
                <w:sz w:val="24"/>
                <w:szCs w:val="24"/>
              </w:rPr>
            </w:pPr>
            <w:r>
              <w:rPr>
                <w:rFonts w:hint="eastAsia" w:ascii="宋体" w:hAnsi="宋体" w:cs="宋体"/>
                <w:kern w:val="0"/>
                <w:sz w:val="24"/>
                <w:szCs w:val="24"/>
              </w:rPr>
              <w:t>1套</w:t>
            </w:r>
          </w:p>
        </w:tc>
      </w:tr>
      <w:tr w14:paraId="74228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09" w:type="dxa"/>
            <w:vAlign w:val="center"/>
          </w:tcPr>
          <w:p w14:paraId="02E636FE">
            <w:pPr>
              <w:jc w:val="center"/>
              <w:rPr>
                <w:rFonts w:hint="eastAsia" w:ascii="宋体" w:hAnsi="宋体" w:cs="Courier New"/>
                <w:kern w:val="0"/>
                <w:sz w:val="24"/>
                <w:szCs w:val="24"/>
              </w:rPr>
            </w:pPr>
            <w:r>
              <w:rPr>
                <w:rFonts w:hint="eastAsia" w:ascii="宋体" w:hAnsi="宋体" w:cs="Courier New"/>
                <w:kern w:val="0"/>
                <w:sz w:val="24"/>
                <w:szCs w:val="24"/>
              </w:rPr>
              <w:t>3</w:t>
            </w:r>
          </w:p>
        </w:tc>
        <w:tc>
          <w:tcPr>
            <w:tcW w:w="1672" w:type="dxa"/>
            <w:vAlign w:val="center"/>
          </w:tcPr>
          <w:p w14:paraId="54D84F51">
            <w:pPr>
              <w:widowControl/>
              <w:jc w:val="center"/>
              <w:rPr>
                <w:rFonts w:hint="eastAsia" w:ascii="宋体" w:hAnsi="宋体" w:cs="宋体"/>
                <w:kern w:val="0"/>
                <w:sz w:val="24"/>
                <w:szCs w:val="24"/>
              </w:rPr>
            </w:pPr>
            <w:r>
              <w:rPr>
                <w:rFonts w:hint="eastAsia" w:ascii="宋体" w:hAnsi="宋体" w:cs="宋体"/>
                <w:kern w:val="0"/>
                <w:sz w:val="24"/>
                <w:szCs w:val="24"/>
              </w:rPr>
              <w:t>SAN交换机</w:t>
            </w:r>
          </w:p>
        </w:tc>
        <w:tc>
          <w:tcPr>
            <w:tcW w:w="4849" w:type="dxa"/>
            <w:vAlign w:val="center"/>
          </w:tcPr>
          <w:p w14:paraId="0967B43E">
            <w:pPr>
              <w:widowControl/>
              <w:jc w:val="left"/>
              <w:rPr>
                <w:rFonts w:hint="eastAsia" w:ascii="宋体" w:hAnsi="宋体" w:cs="宋体"/>
                <w:kern w:val="0"/>
                <w:sz w:val="24"/>
                <w:szCs w:val="24"/>
              </w:rPr>
            </w:pPr>
            <w:r>
              <w:rPr>
                <w:rFonts w:hint="eastAsia" w:ascii="宋体" w:hAnsi="宋体" w:cs="宋体"/>
                <w:kern w:val="0"/>
                <w:sz w:val="24"/>
                <w:szCs w:val="24"/>
              </w:rPr>
              <w:t>DS300B:24口8Gb SAN光纤交换机</w:t>
            </w:r>
          </w:p>
        </w:tc>
        <w:tc>
          <w:tcPr>
            <w:tcW w:w="992" w:type="dxa"/>
            <w:vAlign w:val="center"/>
          </w:tcPr>
          <w:p w14:paraId="6A7A6285">
            <w:pPr>
              <w:widowControl/>
              <w:jc w:val="center"/>
              <w:rPr>
                <w:rFonts w:hint="eastAsia" w:ascii="宋体" w:hAnsi="宋体" w:cs="宋体"/>
                <w:kern w:val="0"/>
                <w:sz w:val="24"/>
                <w:szCs w:val="24"/>
              </w:rPr>
            </w:pPr>
            <w:r>
              <w:rPr>
                <w:rFonts w:hint="eastAsia" w:ascii="宋体" w:hAnsi="宋体" w:cs="宋体"/>
                <w:kern w:val="0"/>
                <w:sz w:val="24"/>
                <w:szCs w:val="24"/>
              </w:rPr>
              <w:t>2台</w:t>
            </w:r>
          </w:p>
        </w:tc>
      </w:tr>
      <w:tr w14:paraId="373E4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709" w:type="dxa"/>
            <w:vAlign w:val="center"/>
          </w:tcPr>
          <w:p w14:paraId="6C32641B">
            <w:pPr>
              <w:jc w:val="center"/>
              <w:rPr>
                <w:rFonts w:hint="eastAsia" w:ascii="宋体" w:hAnsi="宋体" w:cs="Courier New"/>
                <w:kern w:val="0"/>
                <w:sz w:val="24"/>
                <w:szCs w:val="24"/>
              </w:rPr>
            </w:pPr>
            <w:r>
              <w:rPr>
                <w:rFonts w:hint="eastAsia" w:ascii="宋体" w:hAnsi="宋体" w:cs="Courier New"/>
                <w:kern w:val="0"/>
                <w:sz w:val="24"/>
                <w:szCs w:val="24"/>
              </w:rPr>
              <w:t>4</w:t>
            </w:r>
          </w:p>
        </w:tc>
        <w:tc>
          <w:tcPr>
            <w:tcW w:w="1672" w:type="dxa"/>
            <w:vAlign w:val="center"/>
          </w:tcPr>
          <w:p w14:paraId="64375705">
            <w:pPr>
              <w:widowControl/>
              <w:jc w:val="center"/>
              <w:rPr>
                <w:rFonts w:hint="eastAsia" w:ascii="宋体" w:hAnsi="宋体" w:cs="宋体"/>
                <w:kern w:val="0"/>
                <w:sz w:val="24"/>
                <w:szCs w:val="24"/>
              </w:rPr>
            </w:pPr>
            <w:r>
              <w:rPr>
                <w:rFonts w:hint="eastAsia" w:ascii="宋体" w:hAnsi="宋体" w:cs="宋体"/>
                <w:kern w:val="0"/>
                <w:sz w:val="24"/>
                <w:szCs w:val="24"/>
              </w:rPr>
              <w:t>日志审计</w:t>
            </w:r>
          </w:p>
        </w:tc>
        <w:tc>
          <w:tcPr>
            <w:tcW w:w="4849" w:type="dxa"/>
            <w:vAlign w:val="center"/>
          </w:tcPr>
          <w:p w14:paraId="3A12345B">
            <w:pPr>
              <w:spacing w:line="320" w:lineRule="exact"/>
              <w:rPr>
                <w:rFonts w:hint="eastAsia" w:ascii="宋体" w:hAnsi="宋体" w:cs="宋体"/>
                <w:kern w:val="0"/>
                <w:sz w:val="24"/>
                <w:szCs w:val="24"/>
              </w:rPr>
            </w:pPr>
            <w:r>
              <w:rPr>
                <w:rFonts w:hint="eastAsia" w:ascii="宋体" w:hAnsi="宋体" w:cs="宋体"/>
                <w:kern w:val="0"/>
                <w:sz w:val="24"/>
                <w:szCs w:val="24"/>
              </w:rPr>
              <w:t>思福迪LogBase-A3770Y：</w:t>
            </w:r>
          </w:p>
        </w:tc>
        <w:tc>
          <w:tcPr>
            <w:tcW w:w="992" w:type="dxa"/>
            <w:vAlign w:val="center"/>
          </w:tcPr>
          <w:p w14:paraId="676F6338">
            <w:pPr>
              <w:widowControl/>
              <w:jc w:val="center"/>
              <w:rPr>
                <w:rFonts w:hint="eastAsia" w:ascii="宋体" w:hAnsi="宋体" w:cs="宋体"/>
                <w:kern w:val="0"/>
                <w:sz w:val="24"/>
                <w:szCs w:val="24"/>
              </w:rPr>
            </w:pPr>
            <w:r>
              <w:rPr>
                <w:rFonts w:hint="eastAsia" w:ascii="宋体" w:hAnsi="宋体" w:cs="宋体"/>
                <w:kern w:val="0"/>
                <w:sz w:val="24"/>
                <w:szCs w:val="24"/>
              </w:rPr>
              <w:t>1台</w:t>
            </w:r>
          </w:p>
        </w:tc>
      </w:tr>
      <w:tr w14:paraId="39B8E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09" w:type="dxa"/>
            <w:vAlign w:val="center"/>
          </w:tcPr>
          <w:p w14:paraId="6AF24211">
            <w:pPr>
              <w:jc w:val="center"/>
              <w:rPr>
                <w:rFonts w:hint="eastAsia" w:ascii="宋体" w:hAnsi="宋体" w:cs="Courier New"/>
                <w:kern w:val="0"/>
                <w:sz w:val="24"/>
                <w:szCs w:val="24"/>
              </w:rPr>
            </w:pPr>
            <w:r>
              <w:rPr>
                <w:rFonts w:hint="eastAsia" w:ascii="宋体" w:hAnsi="宋体" w:cs="Courier New"/>
                <w:kern w:val="0"/>
                <w:sz w:val="24"/>
                <w:szCs w:val="24"/>
              </w:rPr>
              <w:t>5</w:t>
            </w:r>
          </w:p>
        </w:tc>
        <w:tc>
          <w:tcPr>
            <w:tcW w:w="1672" w:type="dxa"/>
            <w:vAlign w:val="center"/>
          </w:tcPr>
          <w:p w14:paraId="6ADD8660">
            <w:pPr>
              <w:widowControl/>
              <w:jc w:val="center"/>
              <w:rPr>
                <w:rFonts w:hint="eastAsia" w:ascii="宋体" w:hAnsi="宋体" w:cs="宋体"/>
                <w:kern w:val="0"/>
                <w:sz w:val="24"/>
                <w:szCs w:val="24"/>
              </w:rPr>
            </w:pPr>
            <w:r>
              <w:rPr>
                <w:rFonts w:hint="eastAsia" w:ascii="宋体" w:hAnsi="宋体" w:cs="宋体"/>
                <w:kern w:val="0"/>
                <w:sz w:val="24"/>
                <w:szCs w:val="24"/>
              </w:rPr>
              <w:t>链路负载均衡</w:t>
            </w:r>
          </w:p>
        </w:tc>
        <w:tc>
          <w:tcPr>
            <w:tcW w:w="4849" w:type="dxa"/>
            <w:vAlign w:val="center"/>
          </w:tcPr>
          <w:p w14:paraId="4F7908FC">
            <w:pPr>
              <w:spacing w:line="320" w:lineRule="exact"/>
              <w:rPr>
                <w:rFonts w:hint="eastAsia" w:ascii="宋体" w:hAnsi="宋体" w:cs="宋体"/>
                <w:kern w:val="0"/>
                <w:sz w:val="24"/>
                <w:szCs w:val="24"/>
              </w:rPr>
            </w:pPr>
            <w:r>
              <w:rPr>
                <w:rFonts w:hint="eastAsia" w:ascii="宋体" w:hAnsi="宋体" w:cs="宋体"/>
                <w:kern w:val="0"/>
                <w:sz w:val="24"/>
                <w:szCs w:val="24"/>
              </w:rPr>
              <w:t>Radware：LinkProof 4016</w:t>
            </w:r>
          </w:p>
        </w:tc>
        <w:tc>
          <w:tcPr>
            <w:tcW w:w="992" w:type="dxa"/>
            <w:vAlign w:val="center"/>
          </w:tcPr>
          <w:p w14:paraId="715A8BFA">
            <w:pPr>
              <w:widowControl/>
              <w:jc w:val="center"/>
              <w:rPr>
                <w:rFonts w:hint="eastAsia" w:ascii="宋体" w:hAnsi="宋体" w:cs="宋体"/>
                <w:kern w:val="0"/>
                <w:sz w:val="24"/>
                <w:szCs w:val="24"/>
              </w:rPr>
            </w:pPr>
            <w:r>
              <w:rPr>
                <w:rFonts w:hint="eastAsia" w:ascii="宋体" w:hAnsi="宋体" w:cs="宋体"/>
                <w:kern w:val="0"/>
                <w:sz w:val="24"/>
                <w:szCs w:val="24"/>
              </w:rPr>
              <w:t>1台</w:t>
            </w:r>
          </w:p>
        </w:tc>
      </w:tr>
      <w:tr w14:paraId="56E01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709" w:type="dxa"/>
            <w:vAlign w:val="center"/>
          </w:tcPr>
          <w:p w14:paraId="0672C523">
            <w:pPr>
              <w:jc w:val="center"/>
              <w:rPr>
                <w:rFonts w:hint="eastAsia" w:ascii="宋体" w:hAnsi="宋体" w:cs="Courier New"/>
                <w:kern w:val="0"/>
                <w:sz w:val="24"/>
                <w:szCs w:val="24"/>
              </w:rPr>
            </w:pPr>
            <w:r>
              <w:rPr>
                <w:rFonts w:hint="eastAsia" w:ascii="宋体" w:hAnsi="宋体" w:cs="Courier New"/>
                <w:kern w:val="0"/>
                <w:sz w:val="24"/>
                <w:szCs w:val="24"/>
              </w:rPr>
              <w:t>6</w:t>
            </w:r>
          </w:p>
        </w:tc>
        <w:tc>
          <w:tcPr>
            <w:tcW w:w="1672" w:type="dxa"/>
            <w:vAlign w:val="center"/>
          </w:tcPr>
          <w:p w14:paraId="7C01801D">
            <w:pPr>
              <w:widowControl/>
              <w:jc w:val="center"/>
              <w:rPr>
                <w:rFonts w:hint="eastAsia" w:ascii="宋体" w:hAnsi="宋体" w:cs="宋体"/>
                <w:kern w:val="0"/>
                <w:sz w:val="24"/>
                <w:szCs w:val="24"/>
              </w:rPr>
            </w:pPr>
            <w:r>
              <w:rPr>
                <w:rFonts w:hint="eastAsia" w:ascii="宋体" w:hAnsi="宋体" w:cs="宋体"/>
                <w:kern w:val="0"/>
                <w:sz w:val="24"/>
                <w:szCs w:val="24"/>
              </w:rPr>
              <w:t>应用控制</w:t>
            </w:r>
          </w:p>
        </w:tc>
        <w:tc>
          <w:tcPr>
            <w:tcW w:w="4849" w:type="dxa"/>
            <w:vAlign w:val="center"/>
          </w:tcPr>
          <w:p w14:paraId="609CE5C6">
            <w:pPr>
              <w:spacing w:line="320" w:lineRule="exact"/>
              <w:rPr>
                <w:rFonts w:hint="eastAsia" w:ascii="宋体" w:hAnsi="宋体" w:cs="宋体"/>
                <w:kern w:val="0"/>
                <w:sz w:val="24"/>
                <w:szCs w:val="24"/>
              </w:rPr>
            </w:pPr>
            <w:r>
              <w:rPr>
                <w:rFonts w:hint="eastAsia" w:ascii="宋体" w:hAnsi="宋体" w:cs="宋体"/>
                <w:kern w:val="0"/>
                <w:sz w:val="24"/>
                <w:szCs w:val="24"/>
              </w:rPr>
              <w:t xml:space="preserve">天融信TF-5138 </w:t>
            </w:r>
          </w:p>
        </w:tc>
        <w:tc>
          <w:tcPr>
            <w:tcW w:w="992" w:type="dxa"/>
            <w:vAlign w:val="center"/>
          </w:tcPr>
          <w:p w14:paraId="7E27C5E7">
            <w:pPr>
              <w:widowControl/>
              <w:jc w:val="center"/>
              <w:rPr>
                <w:rFonts w:hint="eastAsia" w:ascii="宋体" w:hAnsi="宋体" w:cs="宋体"/>
                <w:kern w:val="0"/>
                <w:sz w:val="24"/>
                <w:szCs w:val="24"/>
              </w:rPr>
            </w:pPr>
            <w:r>
              <w:rPr>
                <w:rFonts w:hint="eastAsia" w:ascii="宋体" w:hAnsi="宋体" w:cs="宋体"/>
                <w:kern w:val="0"/>
                <w:sz w:val="24"/>
                <w:szCs w:val="24"/>
              </w:rPr>
              <w:t>2台</w:t>
            </w:r>
          </w:p>
        </w:tc>
      </w:tr>
      <w:tr w14:paraId="2D796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709" w:type="dxa"/>
            <w:vAlign w:val="center"/>
          </w:tcPr>
          <w:p w14:paraId="6E7D0C76">
            <w:pPr>
              <w:jc w:val="center"/>
              <w:rPr>
                <w:rFonts w:hint="eastAsia" w:ascii="宋体" w:hAnsi="宋体" w:cs="Courier New"/>
                <w:kern w:val="0"/>
                <w:sz w:val="24"/>
                <w:szCs w:val="24"/>
              </w:rPr>
            </w:pPr>
            <w:r>
              <w:rPr>
                <w:rFonts w:hint="eastAsia" w:ascii="宋体" w:hAnsi="宋体" w:cs="Courier New"/>
                <w:kern w:val="0"/>
                <w:sz w:val="24"/>
                <w:szCs w:val="24"/>
              </w:rPr>
              <w:t>7</w:t>
            </w:r>
          </w:p>
        </w:tc>
        <w:tc>
          <w:tcPr>
            <w:tcW w:w="1672" w:type="dxa"/>
            <w:vAlign w:val="center"/>
          </w:tcPr>
          <w:p w14:paraId="4E53FE68">
            <w:pPr>
              <w:widowControl/>
              <w:jc w:val="center"/>
              <w:rPr>
                <w:rFonts w:hint="eastAsia" w:ascii="宋体" w:hAnsi="宋体" w:cs="宋体"/>
                <w:kern w:val="0"/>
                <w:sz w:val="24"/>
                <w:szCs w:val="24"/>
              </w:rPr>
            </w:pPr>
            <w:r>
              <w:rPr>
                <w:rFonts w:hint="eastAsia" w:ascii="宋体" w:hAnsi="宋体" w:cs="宋体"/>
                <w:kern w:val="0"/>
                <w:sz w:val="24"/>
                <w:szCs w:val="24"/>
              </w:rPr>
              <w:t>入侵防御</w:t>
            </w:r>
          </w:p>
        </w:tc>
        <w:tc>
          <w:tcPr>
            <w:tcW w:w="4849" w:type="dxa"/>
            <w:vAlign w:val="center"/>
          </w:tcPr>
          <w:p w14:paraId="0753B938">
            <w:pPr>
              <w:spacing w:line="320" w:lineRule="exact"/>
              <w:rPr>
                <w:rFonts w:hint="eastAsia" w:ascii="宋体" w:hAnsi="宋体" w:cs="宋体"/>
                <w:kern w:val="0"/>
                <w:sz w:val="24"/>
                <w:szCs w:val="24"/>
              </w:rPr>
            </w:pPr>
            <w:r>
              <w:rPr>
                <w:rFonts w:hint="eastAsia" w:ascii="宋体" w:hAnsi="宋体" w:cs="宋体"/>
                <w:kern w:val="0"/>
                <w:sz w:val="24"/>
                <w:szCs w:val="24"/>
              </w:rPr>
              <w:t>天融信TI-51214</w:t>
            </w:r>
          </w:p>
        </w:tc>
        <w:tc>
          <w:tcPr>
            <w:tcW w:w="992" w:type="dxa"/>
            <w:vAlign w:val="center"/>
          </w:tcPr>
          <w:p w14:paraId="31F5603A">
            <w:pPr>
              <w:widowControl/>
              <w:jc w:val="center"/>
              <w:rPr>
                <w:rFonts w:hint="eastAsia" w:ascii="宋体" w:hAnsi="宋体" w:cs="宋体"/>
                <w:kern w:val="0"/>
                <w:sz w:val="24"/>
                <w:szCs w:val="24"/>
              </w:rPr>
            </w:pPr>
            <w:r>
              <w:rPr>
                <w:rFonts w:hint="eastAsia" w:ascii="宋体" w:hAnsi="宋体" w:cs="宋体"/>
                <w:kern w:val="0"/>
                <w:sz w:val="24"/>
                <w:szCs w:val="24"/>
              </w:rPr>
              <w:t>2台</w:t>
            </w:r>
          </w:p>
        </w:tc>
      </w:tr>
      <w:tr w14:paraId="22505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25100971">
            <w:pPr>
              <w:jc w:val="center"/>
              <w:rPr>
                <w:rFonts w:hint="eastAsia" w:ascii="宋体" w:hAnsi="宋体" w:cs="Courier New"/>
                <w:kern w:val="0"/>
                <w:sz w:val="24"/>
                <w:szCs w:val="24"/>
              </w:rPr>
            </w:pPr>
            <w:r>
              <w:rPr>
                <w:rFonts w:hint="eastAsia" w:ascii="宋体" w:hAnsi="宋体" w:cs="Courier New"/>
                <w:kern w:val="0"/>
                <w:sz w:val="24"/>
                <w:szCs w:val="24"/>
              </w:rPr>
              <w:t>8</w:t>
            </w:r>
          </w:p>
        </w:tc>
        <w:tc>
          <w:tcPr>
            <w:tcW w:w="1672" w:type="dxa"/>
            <w:vAlign w:val="center"/>
          </w:tcPr>
          <w:p w14:paraId="7346F037">
            <w:pPr>
              <w:widowControl/>
              <w:jc w:val="center"/>
              <w:rPr>
                <w:rFonts w:hint="eastAsia" w:ascii="宋体" w:hAnsi="宋体" w:cs="宋体"/>
                <w:kern w:val="0"/>
                <w:sz w:val="24"/>
                <w:szCs w:val="24"/>
              </w:rPr>
            </w:pPr>
            <w:r>
              <w:rPr>
                <w:rFonts w:hint="eastAsia" w:ascii="宋体" w:hAnsi="宋体" w:cs="宋体"/>
                <w:kern w:val="0"/>
                <w:sz w:val="24"/>
                <w:szCs w:val="24"/>
              </w:rPr>
              <w:t>4路机架式服务器</w:t>
            </w:r>
          </w:p>
        </w:tc>
        <w:tc>
          <w:tcPr>
            <w:tcW w:w="4849" w:type="dxa"/>
            <w:vAlign w:val="center"/>
          </w:tcPr>
          <w:p w14:paraId="037A68B8">
            <w:pPr>
              <w:spacing w:line="320" w:lineRule="exact"/>
              <w:rPr>
                <w:rFonts w:hint="eastAsia" w:ascii="宋体" w:hAnsi="宋体" w:cs="宋体"/>
                <w:kern w:val="0"/>
                <w:sz w:val="24"/>
                <w:szCs w:val="24"/>
              </w:rPr>
            </w:pPr>
            <w:r>
              <w:rPr>
                <w:rFonts w:hint="eastAsia" w:ascii="宋体" w:hAnsi="宋体" w:cs="宋体"/>
                <w:kern w:val="0"/>
                <w:sz w:val="24"/>
                <w:szCs w:val="24"/>
              </w:rPr>
              <w:t xml:space="preserve">IBM X3850X5 </w:t>
            </w:r>
          </w:p>
        </w:tc>
        <w:tc>
          <w:tcPr>
            <w:tcW w:w="992" w:type="dxa"/>
            <w:vAlign w:val="center"/>
          </w:tcPr>
          <w:p w14:paraId="0A0FFC57">
            <w:pPr>
              <w:widowControl/>
              <w:jc w:val="center"/>
              <w:rPr>
                <w:rFonts w:hint="eastAsia" w:ascii="宋体" w:hAnsi="宋体" w:cs="宋体"/>
                <w:kern w:val="0"/>
                <w:sz w:val="24"/>
                <w:szCs w:val="24"/>
              </w:rPr>
            </w:pPr>
            <w:r>
              <w:rPr>
                <w:rFonts w:hint="eastAsia" w:ascii="宋体" w:hAnsi="宋体" w:cs="宋体"/>
                <w:kern w:val="0"/>
                <w:sz w:val="24"/>
                <w:szCs w:val="24"/>
              </w:rPr>
              <w:t>6台</w:t>
            </w:r>
          </w:p>
        </w:tc>
      </w:tr>
      <w:tr w14:paraId="182CE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7E2D0F7E">
            <w:pPr>
              <w:jc w:val="center"/>
              <w:rPr>
                <w:rFonts w:hint="eastAsia" w:ascii="宋体" w:hAnsi="宋体" w:cs="Courier New"/>
                <w:kern w:val="0"/>
                <w:sz w:val="24"/>
                <w:szCs w:val="24"/>
              </w:rPr>
            </w:pPr>
            <w:r>
              <w:rPr>
                <w:rFonts w:hint="eastAsia" w:ascii="宋体" w:hAnsi="宋体" w:cs="Courier New"/>
                <w:kern w:val="0"/>
                <w:sz w:val="24"/>
                <w:szCs w:val="24"/>
              </w:rPr>
              <w:t>9</w:t>
            </w:r>
          </w:p>
        </w:tc>
        <w:tc>
          <w:tcPr>
            <w:tcW w:w="1672" w:type="dxa"/>
            <w:vAlign w:val="center"/>
          </w:tcPr>
          <w:p w14:paraId="21B8628A">
            <w:pPr>
              <w:widowControl/>
              <w:jc w:val="center"/>
              <w:rPr>
                <w:rFonts w:hint="eastAsia" w:ascii="宋体" w:hAnsi="宋体" w:cs="宋体"/>
                <w:kern w:val="0"/>
                <w:sz w:val="24"/>
                <w:szCs w:val="24"/>
              </w:rPr>
            </w:pPr>
            <w:r>
              <w:rPr>
                <w:rFonts w:hint="eastAsia" w:ascii="宋体" w:hAnsi="宋体" w:cs="宋体"/>
                <w:kern w:val="0"/>
                <w:sz w:val="24"/>
                <w:szCs w:val="24"/>
              </w:rPr>
              <w:t>2路机架式服务器</w:t>
            </w:r>
          </w:p>
        </w:tc>
        <w:tc>
          <w:tcPr>
            <w:tcW w:w="4849" w:type="dxa"/>
            <w:vAlign w:val="center"/>
          </w:tcPr>
          <w:p w14:paraId="39A91516">
            <w:pPr>
              <w:spacing w:line="320" w:lineRule="exact"/>
              <w:rPr>
                <w:rFonts w:hint="eastAsia" w:ascii="宋体" w:hAnsi="宋体" w:cs="宋体"/>
                <w:kern w:val="0"/>
                <w:sz w:val="24"/>
                <w:szCs w:val="24"/>
              </w:rPr>
            </w:pPr>
            <w:r>
              <w:rPr>
                <w:rFonts w:hint="eastAsia" w:ascii="宋体" w:hAnsi="宋体" w:cs="宋体"/>
                <w:kern w:val="0"/>
                <w:sz w:val="24"/>
                <w:szCs w:val="24"/>
              </w:rPr>
              <w:t xml:space="preserve">IBM X3650M4 </w:t>
            </w:r>
          </w:p>
        </w:tc>
        <w:tc>
          <w:tcPr>
            <w:tcW w:w="992" w:type="dxa"/>
            <w:vAlign w:val="center"/>
          </w:tcPr>
          <w:p w14:paraId="269AB560">
            <w:pPr>
              <w:widowControl/>
              <w:jc w:val="center"/>
              <w:rPr>
                <w:rFonts w:hint="eastAsia" w:ascii="宋体" w:hAnsi="宋体" w:cs="宋体"/>
                <w:kern w:val="0"/>
                <w:sz w:val="24"/>
                <w:szCs w:val="24"/>
              </w:rPr>
            </w:pPr>
            <w:r>
              <w:rPr>
                <w:rFonts w:hint="eastAsia" w:ascii="宋体" w:hAnsi="宋体" w:cs="宋体"/>
                <w:kern w:val="0"/>
                <w:sz w:val="24"/>
                <w:szCs w:val="24"/>
              </w:rPr>
              <w:t>8台</w:t>
            </w:r>
          </w:p>
        </w:tc>
      </w:tr>
      <w:tr w14:paraId="35439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709" w:type="dxa"/>
            <w:vAlign w:val="center"/>
          </w:tcPr>
          <w:p w14:paraId="0DFA8A97">
            <w:pPr>
              <w:jc w:val="center"/>
              <w:rPr>
                <w:rFonts w:hint="eastAsia" w:ascii="宋体" w:hAnsi="宋体" w:cs="Courier New"/>
                <w:kern w:val="0"/>
                <w:sz w:val="24"/>
                <w:szCs w:val="24"/>
              </w:rPr>
            </w:pPr>
            <w:r>
              <w:rPr>
                <w:rFonts w:hint="eastAsia" w:ascii="宋体" w:hAnsi="宋体" w:cs="Courier New"/>
                <w:kern w:val="0"/>
                <w:sz w:val="24"/>
                <w:szCs w:val="24"/>
              </w:rPr>
              <w:t>10</w:t>
            </w:r>
          </w:p>
        </w:tc>
        <w:tc>
          <w:tcPr>
            <w:tcW w:w="1672" w:type="dxa"/>
            <w:vAlign w:val="center"/>
          </w:tcPr>
          <w:p w14:paraId="5FA38684">
            <w:pPr>
              <w:widowControl/>
              <w:jc w:val="center"/>
              <w:rPr>
                <w:rFonts w:hint="eastAsia" w:ascii="宋体" w:hAnsi="宋体" w:cs="宋体"/>
                <w:kern w:val="0"/>
                <w:sz w:val="24"/>
                <w:szCs w:val="24"/>
              </w:rPr>
            </w:pPr>
            <w:r>
              <w:rPr>
                <w:rFonts w:hint="eastAsia" w:ascii="宋体" w:hAnsi="宋体" w:cs="宋体"/>
                <w:kern w:val="0"/>
                <w:sz w:val="24"/>
                <w:szCs w:val="24"/>
              </w:rPr>
              <w:t>KVM</w:t>
            </w:r>
          </w:p>
        </w:tc>
        <w:tc>
          <w:tcPr>
            <w:tcW w:w="4849" w:type="dxa"/>
            <w:vAlign w:val="center"/>
          </w:tcPr>
          <w:p w14:paraId="1F6C509E">
            <w:pPr>
              <w:spacing w:line="320" w:lineRule="exact"/>
              <w:rPr>
                <w:rFonts w:hint="eastAsia" w:ascii="宋体" w:hAnsi="宋体" w:cs="宋体"/>
                <w:kern w:val="0"/>
                <w:sz w:val="24"/>
                <w:szCs w:val="24"/>
              </w:rPr>
            </w:pPr>
            <w:r>
              <w:rPr>
                <w:rFonts w:hint="eastAsia" w:ascii="宋体" w:hAnsi="宋体" w:cs="宋体"/>
                <w:kern w:val="0"/>
                <w:sz w:val="24"/>
                <w:szCs w:val="24"/>
              </w:rPr>
              <w:t>IBM 1754D1X LCD:19寸液晶KVM切换器</w:t>
            </w:r>
          </w:p>
        </w:tc>
        <w:tc>
          <w:tcPr>
            <w:tcW w:w="992" w:type="dxa"/>
            <w:vAlign w:val="center"/>
          </w:tcPr>
          <w:p w14:paraId="195D8EFF">
            <w:pPr>
              <w:widowControl/>
              <w:jc w:val="center"/>
              <w:rPr>
                <w:rFonts w:hint="eastAsia" w:ascii="宋体" w:hAnsi="宋体" w:cs="宋体"/>
                <w:kern w:val="0"/>
                <w:sz w:val="24"/>
                <w:szCs w:val="24"/>
              </w:rPr>
            </w:pPr>
            <w:r>
              <w:rPr>
                <w:rFonts w:hint="eastAsia" w:ascii="宋体" w:hAnsi="宋体" w:cs="宋体"/>
                <w:kern w:val="0"/>
                <w:sz w:val="24"/>
                <w:szCs w:val="24"/>
              </w:rPr>
              <w:t>2台</w:t>
            </w:r>
          </w:p>
        </w:tc>
      </w:tr>
      <w:tr w14:paraId="592B9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restart"/>
            <w:vAlign w:val="center"/>
          </w:tcPr>
          <w:p w14:paraId="7E39D4CB">
            <w:pPr>
              <w:jc w:val="center"/>
              <w:rPr>
                <w:rFonts w:hint="eastAsia" w:ascii="宋体" w:hAnsi="宋体" w:cs="宋体"/>
                <w:kern w:val="0"/>
                <w:sz w:val="24"/>
                <w:szCs w:val="24"/>
              </w:rPr>
            </w:pPr>
            <w:r>
              <w:rPr>
                <w:rFonts w:hint="eastAsia" w:ascii="宋体" w:hAnsi="宋体" w:cs="宋体"/>
                <w:kern w:val="0"/>
                <w:sz w:val="24"/>
                <w:szCs w:val="24"/>
              </w:rPr>
              <w:t>11</w:t>
            </w:r>
          </w:p>
        </w:tc>
        <w:tc>
          <w:tcPr>
            <w:tcW w:w="1672" w:type="dxa"/>
            <w:vMerge w:val="restart"/>
            <w:vAlign w:val="center"/>
          </w:tcPr>
          <w:p w14:paraId="0BA5617E">
            <w:pPr>
              <w:widowControl/>
              <w:jc w:val="center"/>
              <w:rPr>
                <w:rFonts w:hint="eastAsia" w:ascii="宋体" w:hAnsi="宋体" w:cs="宋体"/>
                <w:kern w:val="0"/>
                <w:sz w:val="24"/>
                <w:szCs w:val="24"/>
              </w:rPr>
            </w:pPr>
            <w:r>
              <w:rPr>
                <w:rFonts w:hint="eastAsia" w:ascii="宋体" w:hAnsi="宋体" w:cs="宋体"/>
                <w:kern w:val="0"/>
                <w:sz w:val="24"/>
                <w:szCs w:val="24"/>
              </w:rPr>
              <w:t>核心交换机</w:t>
            </w:r>
          </w:p>
        </w:tc>
        <w:tc>
          <w:tcPr>
            <w:tcW w:w="4849" w:type="dxa"/>
            <w:vAlign w:val="center"/>
          </w:tcPr>
          <w:p w14:paraId="6299C80F">
            <w:pPr>
              <w:widowControl/>
              <w:jc w:val="left"/>
              <w:rPr>
                <w:rFonts w:hint="eastAsia" w:ascii="宋体" w:hAnsi="宋体" w:cs="宋体"/>
                <w:kern w:val="0"/>
                <w:sz w:val="24"/>
                <w:szCs w:val="24"/>
              </w:rPr>
            </w:pPr>
            <w:r>
              <w:rPr>
                <w:rFonts w:hint="eastAsia" w:ascii="宋体" w:hAnsi="宋体" w:cs="宋体"/>
                <w:kern w:val="0"/>
                <w:sz w:val="24"/>
                <w:szCs w:val="24"/>
              </w:rPr>
              <w:t>H3C S10508 以太网交换机主机</w:t>
            </w:r>
          </w:p>
        </w:tc>
        <w:tc>
          <w:tcPr>
            <w:tcW w:w="992" w:type="dxa"/>
            <w:vAlign w:val="center"/>
          </w:tcPr>
          <w:p w14:paraId="409CC483">
            <w:pPr>
              <w:widowControl/>
              <w:jc w:val="center"/>
              <w:rPr>
                <w:rFonts w:hint="eastAsia" w:ascii="宋体" w:hAnsi="宋体" w:cs="宋体"/>
                <w:kern w:val="0"/>
                <w:sz w:val="24"/>
                <w:szCs w:val="24"/>
              </w:rPr>
            </w:pPr>
            <w:r>
              <w:rPr>
                <w:rFonts w:hint="eastAsia" w:ascii="宋体" w:hAnsi="宋体" w:cs="宋体"/>
                <w:kern w:val="0"/>
                <w:sz w:val="24"/>
                <w:szCs w:val="24"/>
              </w:rPr>
              <w:t>2套</w:t>
            </w:r>
          </w:p>
        </w:tc>
      </w:tr>
      <w:tr w14:paraId="5662B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79A5BB45">
            <w:pPr>
              <w:jc w:val="center"/>
              <w:rPr>
                <w:rFonts w:hint="eastAsia" w:ascii="宋体" w:hAnsi="宋体" w:cs="宋体"/>
                <w:kern w:val="0"/>
                <w:sz w:val="24"/>
                <w:szCs w:val="24"/>
              </w:rPr>
            </w:pPr>
          </w:p>
        </w:tc>
        <w:tc>
          <w:tcPr>
            <w:tcW w:w="1672" w:type="dxa"/>
            <w:vMerge w:val="continue"/>
            <w:vAlign w:val="center"/>
          </w:tcPr>
          <w:p w14:paraId="660E4AC3">
            <w:pPr>
              <w:widowControl/>
              <w:jc w:val="center"/>
              <w:rPr>
                <w:rFonts w:hint="eastAsia" w:ascii="宋体" w:hAnsi="宋体" w:cs="宋体"/>
                <w:kern w:val="0"/>
                <w:sz w:val="24"/>
                <w:szCs w:val="24"/>
              </w:rPr>
            </w:pPr>
          </w:p>
        </w:tc>
        <w:tc>
          <w:tcPr>
            <w:tcW w:w="4849" w:type="dxa"/>
            <w:vAlign w:val="center"/>
          </w:tcPr>
          <w:p w14:paraId="4D570F0E">
            <w:pPr>
              <w:widowControl/>
              <w:jc w:val="left"/>
              <w:rPr>
                <w:rFonts w:hint="eastAsia" w:ascii="宋体" w:hAnsi="宋体" w:cs="宋体"/>
                <w:kern w:val="0"/>
                <w:sz w:val="24"/>
                <w:szCs w:val="24"/>
              </w:rPr>
            </w:pPr>
            <w:r>
              <w:rPr>
                <w:rFonts w:hint="eastAsia" w:ascii="宋体" w:hAnsi="宋体" w:cs="宋体"/>
                <w:kern w:val="0"/>
                <w:sz w:val="24"/>
                <w:szCs w:val="24"/>
              </w:rPr>
              <w:t>H3C S10500 系列主控制引擎模块</w:t>
            </w:r>
          </w:p>
        </w:tc>
        <w:tc>
          <w:tcPr>
            <w:tcW w:w="992" w:type="dxa"/>
            <w:vAlign w:val="center"/>
          </w:tcPr>
          <w:p w14:paraId="1FE95B5D">
            <w:pPr>
              <w:widowControl/>
              <w:jc w:val="center"/>
              <w:rPr>
                <w:rFonts w:hint="eastAsia" w:ascii="宋体" w:hAnsi="宋体" w:cs="宋体"/>
                <w:kern w:val="0"/>
                <w:sz w:val="24"/>
                <w:szCs w:val="24"/>
              </w:rPr>
            </w:pPr>
            <w:r>
              <w:rPr>
                <w:rFonts w:hint="eastAsia" w:ascii="宋体" w:hAnsi="宋体" w:cs="宋体"/>
                <w:kern w:val="0"/>
                <w:sz w:val="24"/>
                <w:szCs w:val="24"/>
              </w:rPr>
              <w:t>2块</w:t>
            </w:r>
          </w:p>
        </w:tc>
      </w:tr>
      <w:tr w14:paraId="7221B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24603A60">
            <w:pPr>
              <w:jc w:val="center"/>
              <w:rPr>
                <w:rFonts w:hint="eastAsia" w:ascii="宋体" w:hAnsi="宋体" w:cs="宋体"/>
                <w:kern w:val="0"/>
                <w:sz w:val="24"/>
                <w:szCs w:val="24"/>
              </w:rPr>
            </w:pPr>
          </w:p>
        </w:tc>
        <w:tc>
          <w:tcPr>
            <w:tcW w:w="1672" w:type="dxa"/>
            <w:vMerge w:val="continue"/>
            <w:vAlign w:val="center"/>
          </w:tcPr>
          <w:p w14:paraId="1AAC34A4">
            <w:pPr>
              <w:widowControl/>
              <w:jc w:val="center"/>
              <w:rPr>
                <w:rFonts w:hint="eastAsia" w:ascii="宋体" w:hAnsi="宋体" w:cs="宋体"/>
                <w:kern w:val="0"/>
                <w:sz w:val="24"/>
                <w:szCs w:val="24"/>
              </w:rPr>
            </w:pPr>
          </w:p>
        </w:tc>
        <w:tc>
          <w:tcPr>
            <w:tcW w:w="4849" w:type="dxa"/>
            <w:vAlign w:val="center"/>
          </w:tcPr>
          <w:p w14:paraId="5B6C4128">
            <w:pPr>
              <w:widowControl/>
              <w:jc w:val="left"/>
              <w:rPr>
                <w:rFonts w:hint="eastAsia" w:ascii="宋体" w:hAnsi="宋体" w:cs="宋体"/>
                <w:kern w:val="0"/>
                <w:sz w:val="24"/>
                <w:szCs w:val="24"/>
              </w:rPr>
            </w:pPr>
            <w:r>
              <w:rPr>
                <w:rFonts w:hint="eastAsia" w:ascii="宋体" w:hAnsi="宋体" w:cs="宋体"/>
                <w:kern w:val="0"/>
                <w:sz w:val="24"/>
                <w:szCs w:val="24"/>
              </w:rPr>
              <w:t>S10508 &amp; S10508-V交换网板,B类</w:t>
            </w:r>
          </w:p>
        </w:tc>
        <w:tc>
          <w:tcPr>
            <w:tcW w:w="992" w:type="dxa"/>
            <w:vAlign w:val="center"/>
          </w:tcPr>
          <w:p w14:paraId="630C839B">
            <w:pPr>
              <w:widowControl/>
              <w:jc w:val="center"/>
              <w:rPr>
                <w:rFonts w:hint="eastAsia" w:ascii="宋体" w:hAnsi="宋体" w:cs="宋体"/>
                <w:kern w:val="0"/>
                <w:sz w:val="24"/>
                <w:szCs w:val="24"/>
              </w:rPr>
            </w:pPr>
            <w:r>
              <w:rPr>
                <w:rFonts w:hint="eastAsia" w:ascii="宋体" w:hAnsi="宋体" w:cs="宋体"/>
                <w:kern w:val="0"/>
                <w:sz w:val="24"/>
                <w:szCs w:val="24"/>
              </w:rPr>
              <w:t xml:space="preserve">6块 </w:t>
            </w:r>
          </w:p>
        </w:tc>
      </w:tr>
      <w:tr w14:paraId="02759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12676EB1">
            <w:pPr>
              <w:jc w:val="center"/>
              <w:rPr>
                <w:rFonts w:hint="eastAsia" w:ascii="宋体" w:hAnsi="宋体" w:cs="宋体"/>
                <w:kern w:val="0"/>
                <w:sz w:val="24"/>
                <w:szCs w:val="24"/>
              </w:rPr>
            </w:pPr>
          </w:p>
        </w:tc>
        <w:tc>
          <w:tcPr>
            <w:tcW w:w="1672" w:type="dxa"/>
            <w:vMerge w:val="continue"/>
            <w:vAlign w:val="center"/>
          </w:tcPr>
          <w:p w14:paraId="250E450F">
            <w:pPr>
              <w:widowControl/>
              <w:jc w:val="center"/>
              <w:rPr>
                <w:rFonts w:hint="eastAsia" w:ascii="宋体" w:hAnsi="宋体" w:cs="宋体"/>
                <w:kern w:val="0"/>
                <w:sz w:val="24"/>
                <w:szCs w:val="24"/>
              </w:rPr>
            </w:pPr>
          </w:p>
        </w:tc>
        <w:tc>
          <w:tcPr>
            <w:tcW w:w="4849" w:type="dxa"/>
            <w:vAlign w:val="center"/>
          </w:tcPr>
          <w:p w14:paraId="2F7C123D">
            <w:pPr>
              <w:widowControl/>
              <w:jc w:val="left"/>
              <w:rPr>
                <w:rFonts w:hint="eastAsia" w:ascii="宋体" w:hAnsi="宋体" w:cs="宋体"/>
                <w:kern w:val="0"/>
                <w:sz w:val="24"/>
                <w:szCs w:val="24"/>
              </w:rPr>
            </w:pPr>
            <w:r>
              <w:rPr>
                <w:rFonts w:hint="eastAsia" w:ascii="宋体" w:hAnsi="宋体" w:cs="宋体"/>
                <w:kern w:val="0"/>
                <w:sz w:val="24"/>
                <w:szCs w:val="24"/>
              </w:rPr>
              <w:t>交流电源模块,2500W</w:t>
            </w:r>
          </w:p>
        </w:tc>
        <w:tc>
          <w:tcPr>
            <w:tcW w:w="992" w:type="dxa"/>
            <w:vAlign w:val="center"/>
          </w:tcPr>
          <w:p w14:paraId="45D47411">
            <w:pPr>
              <w:widowControl/>
              <w:jc w:val="center"/>
              <w:rPr>
                <w:rFonts w:hint="eastAsia" w:ascii="宋体" w:hAnsi="宋体" w:cs="宋体"/>
                <w:kern w:val="0"/>
                <w:sz w:val="24"/>
                <w:szCs w:val="24"/>
              </w:rPr>
            </w:pPr>
            <w:r>
              <w:rPr>
                <w:rFonts w:hint="eastAsia" w:ascii="宋体" w:hAnsi="宋体" w:cs="宋体"/>
                <w:kern w:val="0"/>
                <w:sz w:val="24"/>
                <w:szCs w:val="24"/>
              </w:rPr>
              <w:t xml:space="preserve">4个 </w:t>
            </w:r>
          </w:p>
        </w:tc>
      </w:tr>
      <w:tr w14:paraId="1D3C0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74F14DF4">
            <w:pPr>
              <w:jc w:val="center"/>
              <w:rPr>
                <w:rFonts w:hint="eastAsia" w:ascii="宋体" w:hAnsi="宋体" w:cs="宋体"/>
                <w:kern w:val="0"/>
                <w:sz w:val="24"/>
                <w:szCs w:val="24"/>
              </w:rPr>
            </w:pPr>
          </w:p>
        </w:tc>
        <w:tc>
          <w:tcPr>
            <w:tcW w:w="1672" w:type="dxa"/>
            <w:vMerge w:val="continue"/>
            <w:vAlign w:val="center"/>
          </w:tcPr>
          <w:p w14:paraId="68488DAA">
            <w:pPr>
              <w:widowControl/>
              <w:jc w:val="center"/>
              <w:rPr>
                <w:rFonts w:hint="eastAsia" w:ascii="宋体" w:hAnsi="宋体" w:cs="宋体"/>
                <w:kern w:val="0"/>
                <w:sz w:val="24"/>
                <w:szCs w:val="24"/>
              </w:rPr>
            </w:pPr>
          </w:p>
        </w:tc>
        <w:tc>
          <w:tcPr>
            <w:tcW w:w="4849" w:type="dxa"/>
            <w:vAlign w:val="center"/>
          </w:tcPr>
          <w:p w14:paraId="426FA5A0">
            <w:pPr>
              <w:widowControl/>
              <w:jc w:val="left"/>
              <w:rPr>
                <w:rFonts w:hint="eastAsia" w:ascii="宋体" w:hAnsi="宋体" w:cs="宋体"/>
                <w:kern w:val="0"/>
                <w:sz w:val="24"/>
                <w:szCs w:val="24"/>
              </w:rPr>
            </w:pPr>
            <w:r>
              <w:rPr>
                <w:rFonts w:hint="eastAsia" w:ascii="宋体" w:hAnsi="宋体" w:cs="宋体"/>
                <w:kern w:val="0"/>
                <w:sz w:val="24"/>
                <w:szCs w:val="24"/>
              </w:rPr>
              <w:t>H3C S10500 16端口千兆以太网光口(SFP,LC)+8端口千兆以太网Combo口模块(SE)</w:t>
            </w:r>
          </w:p>
        </w:tc>
        <w:tc>
          <w:tcPr>
            <w:tcW w:w="992" w:type="dxa"/>
            <w:vAlign w:val="center"/>
          </w:tcPr>
          <w:p w14:paraId="5031B00F">
            <w:pPr>
              <w:widowControl/>
              <w:jc w:val="center"/>
              <w:rPr>
                <w:rFonts w:hint="eastAsia" w:ascii="宋体" w:hAnsi="宋体" w:cs="宋体"/>
                <w:kern w:val="0"/>
                <w:sz w:val="24"/>
                <w:szCs w:val="24"/>
              </w:rPr>
            </w:pPr>
            <w:r>
              <w:rPr>
                <w:rFonts w:hint="eastAsia" w:ascii="宋体" w:hAnsi="宋体" w:cs="宋体"/>
                <w:kern w:val="0"/>
                <w:sz w:val="24"/>
                <w:szCs w:val="24"/>
              </w:rPr>
              <w:t xml:space="preserve">2块 </w:t>
            </w:r>
          </w:p>
        </w:tc>
      </w:tr>
      <w:tr w14:paraId="756D8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23DE2650">
            <w:pPr>
              <w:jc w:val="center"/>
              <w:rPr>
                <w:rFonts w:hint="eastAsia" w:ascii="宋体" w:hAnsi="宋体" w:cs="宋体"/>
                <w:kern w:val="0"/>
                <w:sz w:val="24"/>
                <w:szCs w:val="24"/>
              </w:rPr>
            </w:pPr>
          </w:p>
        </w:tc>
        <w:tc>
          <w:tcPr>
            <w:tcW w:w="1672" w:type="dxa"/>
            <w:vMerge w:val="continue"/>
            <w:vAlign w:val="center"/>
          </w:tcPr>
          <w:p w14:paraId="1C70A3DB">
            <w:pPr>
              <w:widowControl/>
              <w:jc w:val="center"/>
              <w:rPr>
                <w:rFonts w:hint="eastAsia" w:ascii="宋体" w:hAnsi="宋体" w:cs="宋体"/>
                <w:kern w:val="0"/>
                <w:sz w:val="24"/>
                <w:szCs w:val="24"/>
              </w:rPr>
            </w:pPr>
          </w:p>
        </w:tc>
        <w:tc>
          <w:tcPr>
            <w:tcW w:w="4849" w:type="dxa"/>
            <w:vAlign w:val="center"/>
          </w:tcPr>
          <w:p w14:paraId="284AC567">
            <w:pPr>
              <w:widowControl/>
              <w:jc w:val="left"/>
              <w:rPr>
                <w:rFonts w:hint="eastAsia" w:ascii="宋体" w:hAnsi="宋体" w:cs="宋体"/>
                <w:kern w:val="0"/>
                <w:sz w:val="24"/>
                <w:szCs w:val="24"/>
              </w:rPr>
            </w:pPr>
            <w:r>
              <w:rPr>
                <w:rFonts w:hint="eastAsia" w:ascii="宋体" w:hAnsi="宋体" w:cs="宋体"/>
                <w:kern w:val="0"/>
                <w:sz w:val="24"/>
                <w:szCs w:val="24"/>
              </w:rPr>
              <w:t>H3C S10500 16端口千兆以太网光口(SFP,LC)+8端口千兆以太网Combo口+2端口万兆以太网光接口模块(XFP,LC)(SE)</w:t>
            </w:r>
          </w:p>
        </w:tc>
        <w:tc>
          <w:tcPr>
            <w:tcW w:w="992" w:type="dxa"/>
            <w:vAlign w:val="center"/>
          </w:tcPr>
          <w:p w14:paraId="5783C6C6">
            <w:pPr>
              <w:widowControl/>
              <w:jc w:val="center"/>
              <w:rPr>
                <w:rFonts w:hint="eastAsia" w:ascii="宋体" w:hAnsi="宋体" w:cs="宋体"/>
                <w:kern w:val="0"/>
                <w:sz w:val="24"/>
                <w:szCs w:val="24"/>
              </w:rPr>
            </w:pPr>
            <w:r>
              <w:rPr>
                <w:rFonts w:hint="eastAsia" w:ascii="宋体" w:hAnsi="宋体" w:cs="宋体"/>
                <w:kern w:val="0"/>
                <w:sz w:val="24"/>
                <w:szCs w:val="24"/>
              </w:rPr>
              <w:t xml:space="preserve">2块 </w:t>
            </w:r>
          </w:p>
        </w:tc>
      </w:tr>
      <w:tr w14:paraId="578C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06381920">
            <w:pPr>
              <w:jc w:val="center"/>
              <w:rPr>
                <w:rFonts w:hint="eastAsia" w:ascii="宋体" w:hAnsi="宋体" w:cs="宋体"/>
                <w:kern w:val="0"/>
                <w:sz w:val="24"/>
                <w:szCs w:val="24"/>
              </w:rPr>
            </w:pPr>
          </w:p>
        </w:tc>
        <w:tc>
          <w:tcPr>
            <w:tcW w:w="1672" w:type="dxa"/>
            <w:vMerge w:val="continue"/>
            <w:vAlign w:val="center"/>
          </w:tcPr>
          <w:p w14:paraId="31289A3F">
            <w:pPr>
              <w:widowControl/>
              <w:jc w:val="center"/>
              <w:rPr>
                <w:rFonts w:hint="eastAsia" w:ascii="宋体" w:hAnsi="宋体" w:cs="宋体"/>
                <w:kern w:val="0"/>
                <w:sz w:val="24"/>
                <w:szCs w:val="24"/>
              </w:rPr>
            </w:pPr>
          </w:p>
        </w:tc>
        <w:tc>
          <w:tcPr>
            <w:tcW w:w="4849" w:type="dxa"/>
            <w:vAlign w:val="center"/>
          </w:tcPr>
          <w:p w14:paraId="7DB23082">
            <w:pPr>
              <w:widowControl/>
              <w:jc w:val="left"/>
              <w:rPr>
                <w:rFonts w:hint="eastAsia" w:ascii="宋体" w:hAnsi="宋体" w:cs="宋体"/>
                <w:kern w:val="0"/>
                <w:sz w:val="24"/>
                <w:szCs w:val="24"/>
              </w:rPr>
            </w:pPr>
            <w:r>
              <w:rPr>
                <w:rFonts w:hint="eastAsia" w:ascii="宋体" w:hAnsi="宋体" w:cs="宋体"/>
                <w:kern w:val="0"/>
                <w:sz w:val="24"/>
                <w:szCs w:val="24"/>
              </w:rPr>
              <w:t>H3C S10500 4端口万兆以太网光接口模块(XFP,LC)(SE)</w:t>
            </w:r>
          </w:p>
        </w:tc>
        <w:tc>
          <w:tcPr>
            <w:tcW w:w="992" w:type="dxa"/>
            <w:vAlign w:val="center"/>
          </w:tcPr>
          <w:p w14:paraId="37FBF253">
            <w:pPr>
              <w:widowControl/>
              <w:jc w:val="center"/>
              <w:rPr>
                <w:rFonts w:hint="eastAsia" w:ascii="宋体" w:hAnsi="宋体" w:cs="宋体"/>
                <w:kern w:val="0"/>
                <w:sz w:val="24"/>
                <w:szCs w:val="24"/>
              </w:rPr>
            </w:pPr>
            <w:r>
              <w:rPr>
                <w:rFonts w:hint="eastAsia" w:ascii="宋体" w:hAnsi="宋体" w:cs="宋体"/>
                <w:kern w:val="0"/>
                <w:sz w:val="24"/>
                <w:szCs w:val="24"/>
              </w:rPr>
              <w:t xml:space="preserve">2块 </w:t>
            </w:r>
          </w:p>
        </w:tc>
      </w:tr>
      <w:tr w14:paraId="4EB7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09" w:type="dxa"/>
            <w:vMerge w:val="continue"/>
            <w:vAlign w:val="center"/>
          </w:tcPr>
          <w:p w14:paraId="35D38A0E">
            <w:pPr>
              <w:jc w:val="center"/>
              <w:rPr>
                <w:rFonts w:hint="eastAsia" w:ascii="宋体" w:hAnsi="宋体" w:cs="宋体"/>
                <w:kern w:val="0"/>
                <w:sz w:val="24"/>
                <w:szCs w:val="24"/>
              </w:rPr>
            </w:pPr>
          </w:p>
        </w:tc>
        <w:tc>
          <w:tcPr>
            <w:tcW w:w="1672" w:type="dxa"/>
            <w:vMerge w:val="continue"/>
            <w:vAlign w:val="center"/>
          </w:tcPr>
          <w:p w14:paraId="0F64014C">
            <w:pPr>
              <w:widowControl/>
              <w:jc w:val="center"/>
              <w:rPr>
                <w:rFonts w:hint="eastAsia" w:ascii="宋体" w:hAnsi="宋体" w:cs="宋体"/>
                <w:kern w:val="0"/>
                <w:sz w:val="24"/>
                <w:szCs w:val="24"/>
              </w:rPr>
            </w:pPr>
          </w:p>
        </w:tc>
        <w:tc>
          <w:tcPr>
            <w:tcW w:w="4849" w:type="dxa"/>
            <w:vAlign w:val="center"/>
          </w:tcPr>
          <w:p w14:paraId="0A927BA8">
            <w:pPr>
              <w:widowControl/>
              <w:jc w:val="left"/>
              <w:rPr>
                <w:rFonts w:hint="eastAsia" w:ascii="宋体" w:hAnsi="宋体" w:cs="宋体"/>
                <w:kern w:val="0"/>
                <w:sz w:val="24"/>
                <w:szCs w:val="24"/>
              </w:rPr>
            </w:pPr>
            <w:r>
              <w:rPr>
                <w:rFonts w:hint="eastAsia" w:ascii="宋体" w:hAnsi="宋体" w:cs="宋体"/>
                <w:kern w:val="0"/>
                <w:sz w:val="24"/>
                <w:szCs w:val="24"/>
              </w:rPr>
              <w:t>光模块-XFP-10G-多模模块-(850nm,300m,LC)</w:t>
            </w:r>
          </w:p>
        </w:tc>
        <w:tc>
          <w:tcPr>
            <w:tcW w:w="992" w:type="dxa"/>
            <w:vAlign w:val="center"/>
          </w:tcPr>
          <w:p w14:paraId="309E949A">
            <w:pPr>
              <w:widowControl/>
              <w:jc w:val="center"/>
              <w:rPr>
                <w:rFonts w:hint="eastAsia" w:ascii="宋体" w:hAnsi="宋体" w:cs="宋体"/>
                <w:kern w:val="0"/>
                <w:sz w:val="24"/>
                <w:szCs w:val="24"/>
              </w:rPr>
            </w:pPr>
            <w:r>
              <w:rPr>
                <w:rFonts w:hint="eastAsia" w:ascii="宋体" w:hAnsi="宋体" w:cs="宋体"/>
                <w:kern w:val="0"/>
                <w:sz w:val="24"/>
                <w:szCs w:val="24"/>
              </w:rPr>
              <w:t xml:space="preserve">10个 </w:t>
            </w:r>
          </w:p>
        </w:tc>
      </w:tr>
      <w:tr w14:paraId="17F5B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78F85482">
            <w:pPr>
              <w:widowControl/>
              <w:jc w:val="center"/>
              <w:rPr>
                <w:rFonts w:hint="eastAsia" w:ascii="宋体" w:hAnsi="宋体" w:cs="宋体"/>
                <w:kern w:val="0"/>
                <w:sz w:val="24"/>
                <w:szCs w:val="24"/>
              </w:rPr>
            </w:pPr>
          </w:p>
        </w:tc>
        <w:tc>
          <w:tcPr>
            <w:tcW w:w="1672" w:type="dxa"/>
            <w:vMerge w:val="continue"/>
            <w:vAlign w:val="center"/>
          </w:tcPr>
          <w:p w14:paraId="69CEE6ED">
            <w:pPr>
              <w:widowControl/>
              <w:jc w:val="center"/>
              <w:rPr>
                <w:rFonts w:hint="eastAsia" w:ascii="宋体" w:hAnsi="宋体" w:cs="宋体"/>
                <w:kern w:val="0"/>
                <w:sz w:val="24"/>
                <w:szCs w:val="24"/>
              </w:rPr>
            </w:pPr>
          </w:p>
        </w:tc>
        <w:tc>
          <w:tcPr>
            <w:tcW w:w="4849" w:type="dxa"/>
            <w:vAlign w:val="center"/>
          </w:tcPr>
          <w:p w14:paraId="417DFAEC">
            <w:pPr>
              <w:widowControl/>
              <w:jc w:val="left"/>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992" w:type="dxa"/>
            <w:vAlign w:val="center"/>
          </w:tcPr>
          <w:p w14:paraId="19100DFF">
            <w:pPr>
              <w:widowControl/>
              <w:jc w:val="center"/>
              <w:rPr>
                <w:rFonts w:hint="eastAsia" w:ascii="宋体" w:hAnsi="宋体" w:cs="宋体"/>
                <w:kern w:val="0"/>
                <w:sz w:val="24"/>
                <w:szCs w:val="24"/>
              </w:rPr>
            </w:pPr>
            <w:r>
              <w:rPr>
                <w:rFonts w:hint="eastAsia" w:ascii="宋体" w:hAnsi="宋体" w:cs="宋体"/>
                <w:kern w:val="0"/>
                <w:sz w:val="24"/>
                <w:szCs w:val="24"/>
              </w:rPr>
              <w:t>56个</w:t>
            </w:r>
          </w:p>
        </w:tc>
      </w:tr>
      <w:tr w14:paraId="2152B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Align w:val="center"/>
          </w:tcPr>
          <w:p w14:paraId="4864FFD7">
            <w:pPr>
              <w:widowControl/>
              <w:jc w:val="center"/>
              <w:rPr>
                <w:rFonts w:hint="eastAsia" w:ascii="宋体" w:hAnsi="宋体" w:cs="宋体"/>
                <w:kern w:val="0"/>
                <w:sz w:val="24"/>
                <w:szCs w:val="24"/>
              </w:rPr>
            </w:pPr>
            <w:r>
              <w:rPr>
                <w:rFonts w:hint="eastAsia" w:ascii="宋体" w:hAnsi="宋体" w:cs="宋体"/>
                <w:kern w:val="0"/>
                <w:sz w:val="24"/>
                <w:szCs w:val="24"/>
              </w:rPr>
              <w:t>12</w:t>
            </w:r>
          </w:p>
        </w:tc>
        <w:tc>
          <w:tcPr>
            <w:tcW w:w="1672" w:type="dxa"/>
            <w:vAlign w:val="center"/>
          </w:tcPr>
          <w:p w14:paraId="65B7BF6F">
            <w:pPr>
              <w:widowControl/>
              <w:jc w:val="center"/>
              <w:rPr>
                <w:rFonts w:hint="eastAsia" w:ascii="宋体" w:hAnsi="宋体" w:cs="宋体"/>
                <w:kern w:val="0"/>
                <w:sz w:val="24"/>
                <w:szCs w:val="24"/>
              </w:rPr>
            </w:pPr>
            <w:r>
              <w:rPr>
                <w:rFonts w:hint="eastAsia" w:ascii="宋体" w:hAnsi="宋体" w:cs="宋体"/>
                <w:kern w:val="0"/>
                <w:sz w:val="24"/>
                <w:szCs w:val="24"/>
              </w:rPr>
              <w:t>防火墙板卡</w:t>
            </w:r>
          </w:p>
        </w:tc>
        <w:tc>
          <w:tcPr>
            <w:tcW w:w="4849" w:type="dxa"/>
            <w:vAlign w:val="center"/>
          </w:tcPr>
          <w:p w14:paraId="5537E77B">
            <w:pPr>
              <w:widowControl/>
              <w:jc w:val="left"/>
              <w:rPr>
                <w:rFonts w:hint="eastAsia" w:ascii="宋体" w:hAnsi="宋体" w:cs="宋体"/>
                <w:kern w:val="0"/>
                <w:sz w:val="24"/>
                <w:szCs w:val="24"/>
              </w:rPr>
            </w:pPr>
            <w:r>
              <w:rPr>
                <w:rFonts w:hint="eastAsia" w:ascii="宋体" w:hAnsi="宋体" w:cs="宋体"/>
                <w:kern w:val="0"/>
                <w:sz w:val="24"/>
                <w:szCs w:val="24"/>
              </w:rPr>
              <w:t>H3C S10500,FW III 防火墙业务板</w:t>
            </w:r>
          </w:p>
        </w:tc>
        <w:tc>
          <w:tcPr>
            <w:tcW w:w="992" w:type="dxa"/>
            <w:vAlign w:val="center"/>
          </w:tcPr>
          <w:p w14:paraId="5CB83193">
            <w:pPr>
              <w:widowControl/>
              <w:jc w:val="center"/>
              <w:rPr>
                <w:rFonts w:hint="eastAsia" w:ascii="宋体" w:hAnsi="宋体" w:cs="宋体"/>
                <w:kern w:val="0"/>
                <w:sz w:val="24"/>
                <w:szCs w:val="24"/>
              </w:rPr>
            </w:pPr>
            <w:r>
              <w:rPr>
                <w:rFonts w:hint="eastAsia" w:ascii="宋体" w:hAnsi="宋体" w:cs="宋体"/>
                <w:kern w:val="0"/>
                <w:sz w:val="24"/>
                <w:szCs w:val="24"/>
              </w:rPr>
              <w:t xml:space="preserve">2块 </w:t>
            </w:r>
          </w:p>
        </w:tc>
      </w:tr>
      <w:tr w14:paraId="4CBF1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7C522DED">
            <w:pPr>
              <w:widowControl/>
              <w:jc w:val="center"/>
              <w:rPr>
                <w:rFonts w:hint="eastAsia" w:ascii="宋体" w:hAnsi="宋体" w:cs="宋体"/>
                <w:kern w:val="0"/>
                <w:sz w:val="24"/>
                <w:szCs w:val="24"/>
              </w:rPr>
            </w:pPr>
            <w:r>
              <w:rPr>
                <w:rFonts w:hint="eastAsia" w:ascii="宋体" w:hAnsi="宋体" w:cs="宋体"/>
                <w:kern w:val="0"/>
                <w:sz w:val="24"/>
                <w:szCs w:val="24"/>
              </w:rPr>
              <w:t>13</w:t>
            </w:r>
          </w:p>
        </w:tc>
        <w:tc>
          <w:tcPr>
            <w:tcW w:w="1672" w:type="dxa"/>
            <w:vMerge w:val="restart"/>
            <w:vAlign w:val="center"/>
          </w:tcPr>
          <w:p w14:paraId="77B8C7F1">
            <w:pPr>
              <w:widowControl/>
              <w:jc w:val="center"/>
              <w:rPr>
                <w:rFonts w:hint="eastAsia" w:ascii="宋体" w:hAnsi="宋体" w:cs="宋体"/>
                <w:kern w:val="0"/>
                <w:sz w:val="24"/>
                <w:szCs w:val="24"/>
              </w:rPr>
            </w:pPr>
            <w:r>
              <w:rPr>
                <w:rFonts w:hint="eastAsia" w:ascii="宋体" w:hAnsi="宋体" w:cs="宋体"/>
                <w:kern w:val="0"/>
                <w:sz w:val="24"/>
                <w:szCs w:val="24"/>
              </w:rPr>
              <w:t>服务器区万兆接入交换机</w:t>
            </w:r>
          </w:p>
        </w:tc>
        <w:tc>
          <w:tcPr>
            <w:tcW w:w="4849" w:type="dxa"/>
            <w:vAlign w:val="center"/>
          </w:tcPr>
          <w:p w14:paraId="06DB69A8">
            <w:pPr>
              <w:widowControl/>
              <w:jc w:val="left"/>
              <w:rPr>
                <w:rFonts w:hint="eastAsia" w:ascii="宋体" w:hAnsi="宋体" w:cs="宋体"/>
                <w:kern w:val="0"/>
                <w:sz w:val="24"/>
                <w:szCs w:val="24"/>
              </w:rPr>
            </w:pPr>
            <w:r>
              <w:rPr>
                <w:rFonts w:hint="eastAsia" w:ascii="宋体" w:hAnsi="宋体" w:cs="宋体"/>
                <w:kern w:val="0"/>
                <w:sz w:val="24"/>
                <w:szCs w:val="24"/>
              </w:rPr>
              <w:t xml:space="preserve">H3C S6300-42QF </w:t>
            </w:r>
          </w:p>
        </w:tc>
        <w:tc>
          <w:tcPr>
            <w:tcW w:w="992" w:type="dxa"/>
            <w:vAlign w:val="center"/>
          </w:tcPr>
          <w:p w14:paraId="2A71044F">
            <w:pPr>
              <w:widowControl/>
              <w:jc w:val="center"/>
              <w:rPr>
                <w:rFonts w:hint="eastAsia" w:ascii="宋体" w:hAnsi="宋体" w:cs="宋体"/>
                <w:kern w:val="0"/>
                <w:sz w:val="24"/>
                <w:szCs w:val="24"/>
              </w:rPr>
            </w:pPr>
            <w:r>
              <w:rPr>
                <w:rFonts w:hint="eastAsia" w:ascii="宋体" w:hAnsi="宋体" w:cs="宋体"/>
                <w:kern w:val="0"/>
                <w:sz w:val="24"/>
                <w:szCs w:val="24"/>
              </w:rPr>
              <w:t xml:space="preserve">2台 </w:t>
            </w:r>
          </w:p>
        </w:tc>
      </w:tr>
      <w:tr w14:paraId="68942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709" w:type="dxa"/>
            <w:vMerge w:val="continue"/>
            <w:vAlign w:val="center"/>
          </w:tcPr>
          <w:p w14:paraId="5B3A3BB1">
            <w:pPr>
              <w:widowControl/>
              <w:jc w:val="center"/>
              <w:rPr>
                <w:rFonts w:hint="eastAsia" w:ascii="宋体" w:hAnsi="宋体" w:cs="宋体"/>
                <w:kern w:val="0"/>
                <w:sz w:val="24"/>
                <w:szCs w:val="24"/>
              </w:rPr>
            </w:pPr>
          </w:p>
        </w:tc>
        <w:tc>
          <w:tcPr>
            <w:tcW w:w="1672" w:type="dxa"/>
            <w:vMerge w:val="continue"/>
            <w:vAlign w:val="center"/>
          </w:tcPr>
          <w:p w14:paraId="6410E3E5">
            <w:pPr>
              <w:widowControl/>
              <w:jc w:val="center"/>
              <w:rPr>
                <w:rFonts w:hint="eastAsia" w:ascii="宋体" w:hAnsi="宋体" w:cs="宋体"/>
                <w:kern w:val="0"/>
                <w:sz w:val="24"/>
                <w:szCs w:val="24"/>
              </w:rPr>
            </w:pPr>
          </w:p>
        </w:tc>
        <w:tc>
          <w:tcPr>
            <w:tcW w:w="4849" w:type="dxa"/>
            <w:vAlign w:val="center"/>
          </w:tcPr>
          <w:p w14:paraId="7703A5EC">
            <w:pPr>
              <w:widowControl/>
              <w:jc w:val="left"/>
              <w:rPr>
                <w:rFonts w:hint="eastAsia" w:ascii="宋体" w:hAnsi="宋体" w:cs="宋体"/>
                <w:kern w:val="0"/>
                <w:sz w:val="24"/>
                <w:szCs w:val="24"/>
              </w:rPr>
            </w:pPr>
            <w:r>
              <w:rPr>
                <w:rFonts w:hint="eastAsia" w:ascii="宋体" w:hAnsi="宋体" w:cs="宋体"/>
                <w:kern w:val="0"/>
                <w:sz w:val="24"/>
                <w:szCs w:val="24"/>
              </w:rPr>
              <w:t>650W 交流电源模块</w:t>
            </w:r>
          </w:p>
        </w:tc>
        <w:tc>
          <w:tcPr>
            <w:tcW w:w="992" w:type="dxa"/>
            <w:vAlign w:val="center"/>
          </w:tcPr>
          <w:p w14:paraId="620157DA">
            <w:pPr>
              <w:widowControl/>
              <w:jc w:val="center"/>
              <w:rPr>
                <w:rFonts w:hint="eastAsia" w:ascii="宋体" w:hAnsi="宋体" w:cs="宋体"/>
                <w:kern w:val="0"/>
                <w:sz w:val="24"/>
                <w:szCs w:val="24"/>
              </w:rPr>
            </w:pPr>
            <w:r>
              <w:rPr>
                <w:rFonts w:hint="eastAsia" w:ascii="宋体" w:hAnsi="宋体" w:cs="宋体"/>
                <w:kern w:val="0"/>
                <w:sz w:val="24"/>
                <w:szCs w:val="24"/>
              </w:rPr>
              <w:t xml:space="preserve">4个 </w:t>
            </w:r>
          </w:p>
        </w:tc>
      </w:tr>
      <w:tr w14:paraId="58389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17F3B00B">
            <w:pPr>
              <w:widowControl/>
              <w:jc w:val="center"/>
              <w:rPr>
                <w:rFonts w:hint="eastAsia" w:ascii="宋体" w:hAnsi="宋体" w:cs="宋体"/>
                <w:kern w:val="0"/>
                <w:sz w:val="24"/>
                <w:szCs w:val="24"/>
              </w:rPr>
            </w:pPr>
          </w:p>
        </w:tc>
        <w:tc>
          <w:tcPr>
            <w:tcW w:w="1672" w:type="dxa"/>
            <w:vMerge w:val="continue"/>
            <w:vAlign w:val="center"/>
          </w:tcPr>
          <w:p w14:paraId="7AB56232">
            <w:pPr>
              <w:widowControl/>
              <w:jc w:val="center"/>
              <w:rPr>
                <w:rFonts w:hint="eastAsia" w:ascii="宋体" w:hAnsi="宋体" w:cs="宋体"/>
                <w:kern w:val="0"/>
                <w:sz w:val="24"/>
                <w:szCs w:val="24"/>
              </w:rPr>
            </w:pPr>
          </w:p>
        </w:tc>
        <w:tc>
          <w:tcPr>
            <w:tcW w:w="4849" w:type="dxa"/>
            <w:vAlign w:val="center"/>
          </w:tcPr>
          <w:p w14:paraId="1B850DF4">
            <w:pPr>
              <w:widowControl/>
              <w:jc w:val="left"/>
              <w:rPr>
                <w:rFonts w:hint="eastAsia" w:ascii="宋体" w:hAnsi="宋体" w:cs="宋体"/>
                <w:kern w:val="0"/>
                <w:sz w:val="24"/>
                <w:szCs w:val="24"/>
              </w:rPr>
            </w:pPr>
            <w:r>
              <w:rPr>
                <w:rFonts w:hint="eastAsia" w:ascii="宋体" w:hAnsi="宋体" w:cs="宋体"/>
                <w:kern w:val="0"/>
                <w:sz w:val="24"/>
                <w:szCs w:val="24"/>
              </w:rPr>
              <w:t>H3C S5820X-26S风扇模块(端口侧出风)</w:t>
            </w:r>
          </w:p>
        </w:tc>
        <w:tc>
          <w:tcPr>
            <w:tcW w:w="992" w:type="dxa"/>
            <w:vAlign w:val="center"/>
          </w:tcPr>
          <w:p w14:paraId="5A7511CC">
            <w:pPr>
              <w:widowControl/>
              <w:jc w:val="center"/>
              <w:rPr>
                <w:rFonts w:hint="eastAsia" w:ascii="宋体" w:hAnsi="宋体" w:cs="宋体"/>
                <w:kern w:val="0"/>
                <w:sz w:val="24"/>
                <w:szCs w:val="24"/>
              </w:rPr>
            </w:pPr>
            <w:r>
              <w:rPr>
                <w:rFonts w:hint="eastAsia" w:ascii="宋体" w:hAnsi="宋体" w:cs="宋体"/>
                <w:kern w:val="0"/>
                <w:sz w:val="24"/>
                <w:szCs w:val="24"/>
              </w:rPr>
              <w:t>4个</w:t>
            </w:r>
          </w:p>
        </w:tc>
      </w:tr>
      <w:tr w14:paraId="29DD4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0DDA9941">
            <w:pPr>
              <w:widowControl/>
              <w:jc w:val="center"/>
              <w:rPr>
                <w:rFonts w:hint="eastAsia" w:ascii="宋体" w:hAnsi="宋体" w:cs="宋体"/>
                <w:kern w:val="0"/>
                <w:sz w:val="24"/>
                <w:szCs w:val="24"/>
              </w:rPr>
            </w:pPr>
          </w:p>
        </w:tc>
        <w:tc>
          <w:tcPr>
            <w:tcW w:w="1672" w:type="dxa"/>
            <w:vMerge w:val="continue"/>
            <w:vAlign w:val="center"/>
          </w:tcPr>
          <w:p w14:paraId="16361527">
            <w:pPr>
              <w:widowControl/>
              <w:jc w:val="center"/>
              <w:rPr>
                <w:rFonts w:hint="eastAsia" w:ascii="宋体" w:hAnsi="宋体" w:cs="宋体"/>
                <w:kern w:val="0"/>
                <w:sz w:val="24"/>
                <w:szCs w:val="24"/>
              </w:rPr>
            </w:pPr>
          </w:p>
        </w:tc>
        <w:tc>
          <w:tcPr>
            <w:tcW w:w="4849" w:type="dxa"/>
            <w:vAlign w:val="center"/>
          </w:tcPr>
          <w:p w14:paraId="33D63809">
            <w:pPr>
              <w:widowControl/>
              <w:jc w:val="left"/>
              <w:rPr>
                <w:rFonts w:hint="eastAsia" w:ascii="宋体" w:hAnsi="宋体" w:cs="宋体"/>
                <w:kern w:val="0"/>
                <w:sz w:val="24"/>
                <w:szCs w:val="24"/>
              </w:rPr>
            </w:pPr>
            <w:r>
              <w:rPr>
                <w:rFonts w:hint="eastAsia" w:ascii="宋体" w:hAnsi="宋体" w:cs="宋体"/>
                <w:kern w:val="0"/>
                <w:sz w:val="24"/>
                <w:szCs w:val="24"/>
              </w:rPr>
              <w:t>40G QSFP+ 3m电缆</w:t>
            </w:r>
          </w:p>
        </w:tc>
        <w:tc>
          <w:tcPr>
            <w:tcW w:w="992" w:type="dxa"/>
            <w:vAlign w:val="center"/>
          </w:tcPr>
          <w:p w14:paraId="3C3073F5">
            <w:pPr>
              <w:widowControl/>
              <w:jc w:val="center"/>
              <w:rPr>
                <w:rFonts w:hint="eastAsia" w:ascii="宋体" w:hAnsi="宋体" w:cs="宋体"/>
                <w:kern w:val="0"/>
                <w:sz w:val="24"/>
                <w:szCs w:val="24"/>
              </w:rPr>
            </w:pPr>
            <w:r>
              <w:rPr>
                <w:rFonts w:hint="eastAsia" w:ascii="宋体" w:hAnsi="宋体" w:cs="宋体"/>
                <w:kern w:val="0"/>
                <w:sz w:val="24"/>
                <w:szCs w:val="24"/>
              </w:rPr>
              <w:t>2根</w:t>
            </w:r>
          </w:p>
        </w:tc>
      </w:tr>
      <w:tr w14:paraId="031D2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298BA1A5">
            <w:pPr>
              <w:widowControl/>
              <w:jc w:val="center"/>
              <w:rPr>
                <w:rFonts w:hint="eastAsia" w:ascii="宋体" w:hAnsi="宋体" w:cs="宋体"/>
                <w:kern w:val="0"/>
                <w:sz w:val="24"/>
                <w:szCs w:val="24"/>
              </w:rPr>
            </w:pPr>
          </w:p>
        </w:tc>
        <w:tc>
          <w:tcPr>
            <w:tcW w:w="1672" w:type="dxa"/>
            <w:vMerge w:val="continue"/>
            <w:vAlign w:val="center"/>
          </w:tcPr>
          <w:p w14:paraId="6CC5047D">
            <w:pPr>
              <w:widowControl/>
              <w:jc w:val="center"/>
              <w:rPr>
                <w:rFonts w:hint="eastAsia" w:ascii="宋体" w:hAnsi="宋体" w:cs="宋体"/>
                <w:kern w:val="0"/>
                <w:sz w:val="24"/>
                <w:szCs w:val="24"/>
              </w:rPr>
            </w:pPr>
          </w:p>
        </w:tc>
        <w:tc>
          <w:tcPr>
            <w:tcW w:w="4849" w:type="dxa"/>
            <w:vAlign w:val="center"/>
          </w:tcPr>
          <w:p w14:paraId="5D4A2F89">
            <w:pPr>
              <w:widowControl/>
              <w:jc w:val="left"/>
              <w:rPr>
                <w:rFonts w:hint="eastAsia" w:ascii="宋体" w:hAnsi="宋体" w:cs="宋体"/>
                <w:kern w:val="0"/>
                <w:sz w:val="24"/>
                <w:szCs w:val="24"/>
              </w:rPr>
            </w:pPr>
            <w:r>
              <w:rPr>
                <w:rFonts w:hint="eastAsia" w:ascii="宋体" w:hAnsi="宋体" w:cs="宋体"/>
                <w:kern w:val="0"/>
                <w:sz w:val="24"/>
                <w:szCs w:val="24"/>
              </w:rPr>
              <w:t>SFP+ 万兆模块(850nm,300m,LC)</w:t>
            </w:r>
          </w:p>
        </w:tc>
        <w:tc>
          <w:tcPr>
            <w:tcW w:w="992" w:type="dxa"/>
            <w:vAlign w:val="center"/>
          </w:tcPr>
          <w:p w14:paraId="020E8BFE">
            <w:pPr>
              <w:widowControl/>
              <w:jc w:val="center"/>
              <w:rPr>
                <w:rFonts w:hint="eastAsia" w:ascii="宋体" w:hAnsi="宋体" w:cs="宋体"/>
                <w:kern w:val="0"/>
                <w:sz w:val="24"/>
                <w:szCs w:val="24"/>
              </w:rPr>
            </w:pPr>
            <w:r>
              <w:rPr>
                <w:rFonts w:hint="eastAsia" w:ascii="宋体" w:hAnsi="宋体" w:cs="宋体"/>
                <w:kern w:val="0"/>
                <w:sz w:val="24"/>
                <w:szCs w:val="24"/>
              </w:rPr>
              <w:t xml:space="preserve">2个 </w:t>
            </w:r>
          </w:p>
        </w:tc>
      </w:tr>
      <w:tr w14:paraId="17847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117A5540">
            <w:pPr>
              <w:widowControl/>
              <w:jc w:val="center"/>
              <w:rPr>
                <w:rFonts w:hint="eastAsia" w:ascii="宋体" w:hAnsi="宋体" w:cs="宋体"/>
                <w:kern w:val="0"/>
                <w:sz w:val="24"/>
                <w:szCs w:val="24"/>
              </w:rPr>
            </w:pPr>
            <w:r>
              <w:rPr>
                <w:rFonts w:hint="eastAsia" w:ascii="宋体" w:hAnsi="宋体" w:cs="宋体"/>
                <w:kern w:val="0"/>
                <w:sz w:val="24"/>
                <w:szCs w:val="24"/>
              </w:rPr>
              <w:t>14</w:t>
            </w:r>
          </w:p>
        </w:tc>
        <w:tc>
          <w:tcPr>
            <w:tcW w:w="1672" w:type="dxa"/>
            <w:vMerge w:val="restart"/>
            <w:vAlign w:val="center"/>
          </w:tcPr>
          <w:p w14:paraId="1D2538E9">
            <w:pPr>
              <w:widowControl/>
              <w:jc w:val="center"/>
              <w:rPr>
                <w:rFonts w:hint="eastAsia" w:ascii="宋体" w:hAnsi="宋体" w:cs="宋体"/>
                <w:kern w:val="0"/>
                <w:sz w:val="24"/>
                <w:szCs w:val="24"/>
              </w:rPr>
            </w:pPr>
            <w:r>
              <w:rPr>
                <w:rFonts w:hint="eastAsia" w:ascii="宋体" w:hAnsi="宋体" w:cs="宋体"/>
                <w:kern w:val="0"/>
                <w:sz w:val="24"/>
                <w:szCs w:val="24"/>
              </w:rPr>
              <w:t>万兆上行接入交换机</w:t>
            </w:r>
          </w:p>
        </w:tc>
        <w:tc>
          <w:tcPr>
            <w:tcW w:w="4849" w:type="dxa"/>
            <w:vAlign w:val="center"/>
          </w:tcPr>
          <w:p w14:paraId="38050B7F">
            <w:pPr>
              <w:widowControl/>
              <w:jc w:val="left"/>
              <w:rPr>
                <w:rFonts w:hint="eastAsia" w:ascii="宋体" w:hAnsi="宋体" w:cs="宋体"/>
                <w:kern w:val="0"/>
                <w:sz w:val="24"/>
                <w:szCs w:val="24"/>
              </w:rPr>
            </w:pPr>
            <w:r>
              <w:rPr>
                <w:rFonts w:hint="eastAsia" w:ascii="宋体" w:hAnsi="宋体" w:cs="宋体"/>
                <w:kern w:val="0"/>
                <w:sz w:val="24"/>
                <w:szCs w:val="24"/>
              </w:rPr>
              <w:t>H3C S5120-52C-EI-以太网交换机主机</w:t>
            </w:r>
          </w:p>
        </w:tc>
        <w:tc>
          <w:tcPr>
            <w:tcW w:w="992" w:type="dxa"/>
            <w:vAlign w:val="center"/>
          </w:tcPr>
          <w:p w14:paraId="3496C807">
            <w:pPr>
              <w:widowControl/>
              <w:jc w:val="center"/>
              <w:rPr>
                <w:rFonts w:hint="eastAsia" w:ascii="宋体" w:hAnsi="宋体" w:cs="宋体"/>
                <w:kern w:val="0"/>
                <w:sz w:val="24"/>
                <w:szCs w:val="24"/>
              </w:rPr>
            </w:pPr>
            <w:r>
              <w:rPr>
                <w:rFonts w:hint="eastAsia" w:ascii="宋体" w:hAnsi="宋体" w:cs="宋体"/>
                <w:kern w:val="0"/>
                <w:sz w:val="24"/>
                <w:szCs w:val="24"/>
              </w:rPr>
              <w:t xml:space="preserve">4台 </w:t>
            </w:r>
          </w:p>
        </w:tc>
      </w:tr>
      <w:tr w14:paraId="653E2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4F520592">
            <w:pPr>
              <w:widowControl/>
              <w:jc w:val="center"/>
              <w:rPr>
                <w:rFonts w:hint="eastAsia" w:ascii="宋体" w:hAnsi="宋体" w:cs="宋体"/>
                <w:kern w:val="0"/>
                <w:sz w:val="24"/>
                <w:szCs w:val="24"/>
              </w:rPr>
            </w:pPr>
          </w:p>
        </w:tc>
        <w:tc>
          <w:tcPr>
            <w:tcW w:w="1672" w:type="dxa"/>
            <w:vMerge w:val="continue"/>
            <w:vAlign w:val="center"/>
          </w:tcPr>
          <w:p w14:paraId="18AC9CF7">
            <w:pPr>
              <w:widowControl/>
              <w:jc w:val="center"/>
              <w:rPr>
                <w:rFonts w:hint="eastAsia" w:ascii="宋体" w:hAnsi="宋体" w:cs="宋体"/>
                <w:kern w:val="0"/>
                <w:sz w:val="24"/>
                <w:szCs w:val="24"/>
              </w:rPr>
            </w:pPr>
          </w:p>
        </w:tc>
        <w:tc>
          <w:tcPr>
            <w:tcW w:w="4849" w:type="dxa"/>
            <w:vAlign w:val="center"/>
          </w:tcPr>
          <w:p w14:paraId="310E6AED">
            <w:pPr>
              <w:widowControl/>
              <w:jc w:val="left"/>
              <w:rPr>
                <w:rFonts w:hint="eastAsia" w:ascii="宋体" w:hAnsi="宋体" w:cs="宋体"/>
                <w:kern w:val="0"/>
                <w:sz w:val="24"/>
                <w:szCs w:val="24"/>
              </w:rPr>
            </w:pPr>
            <w:r>
              <w:rPr>
                <w:rFonts w:hint="eastAsia" w:ascii="宋体" w:hAnsi="宋体" w:cs="宋体"/>
                <w:kern w:val="0"/>
                <w:sz w:val="24"/>
                <w:szCs w:val="24"/>
              </w:rPr>
              <w:t>H3C S5500 2端口万兆以太网CX4接口模块(3m短距离)</w:t>
            </w:r>
          </w:p>
        </w:tc>
        <w:tc>
          <w:tcPr>
            <w:tcW w:w="992" w:type="dxa"/>
            <w:vAlign w:val="center"/>
          </w:tcPr>
          <w:p w14:paraId="1128CC9C">
            <w:pPr>
              <w:widowControl/>
              <w:jc w:val="center"/>
              <w:rPr>
                <w:rFonts w:hint="eastAsia" w:ascii="宋体" w:hAnsi="宋体" w:cs="宋体"/>
                <w:kern w:val="0"/>
                <w:sz w:val="24"/>
                <w:szCs w:val="24"/>
              </w:rPr>
            </w:pPr>
            <w:r>
              <w:rPr>
                <w:rFonts w:hint="eastAsia" w:ascii="宋体" w:hAnsi="宋体" w:cs="宋体"/>
                <w:kern w:val="0"/>
                <w:sz w:val="24"/>
                <w:szCs w:val="24"/>
              </w:rPr>
              <w:t>2 块</w:t>
            </w:r>
          </w:p>
        </w:tc>
      </w:tr>
      <w:tr w14:paraId="1B8A3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1D59D886">
            <w:pPr>
              <w:widowControl/>
              <w:jc w:val="center"/>
              <w:rPr>
                <w:rFonts w:hint="eastAsia" w:ascii="宋体" w:hAnsi="宋体" w:cs="宋体"/>
                <w:kern w:val="0"/>
                <w:sz w:val="24"/>
                <w:szCs w:val="24"/>
              </w:rPr>
            </w:pPr>
          </w:p>
        </w:tc>
        <w:tc>
          <w:tcPr>
            <w:tcW w:w="1672" w:type="dxa"/>
            <w:vMerge w:val="continue"/>
            <w:vAlign w:val="center"/>
          </w:tcPr>
          <w:p w14:paraId="1AD446FA">
            <w:pPr>
              <w:widowControl/>
              <w:jc w:val="center"/>
              <w:rPr>
                <w:rFonts w:hint="eastAsia" w:ascii="宋体" w:hAnsi="宋体" w:cs="宋体"/>
                <w:kern w:val="0"/>
                <w:sz w:val="24"/>
                <w:szCs w:val="24"/>
              </w:rPr>
            </w:pPr>
          </w:p>
        </w:tc>
        <w:tc>
          <w:tcPr>
            <w:tcW w:w="4849" w:type="dxa"/>
            <w:vAlign w:val="center"/>
          </w:tcPr>
          <w:p w14:paraId="5CB3A46F">
            <w:pPr>
              <w:widowControl/>
              <w:jc w:val="left"/>
              <w:rPr>
                <w:rFonts w:hint="eastAsia" w:ascii="宋体" w:hAnsi="宋体" w:cs="宋体"/>
                <w:kern w:val="0"/>
                <w:sz w:val="24"/>
                <w:szCs w:val="24"/>
              </w:rPr>
            </w:pPr>
            <w:r>
              <w:rPr>
                <w:rFonts w:hint="eastAsia" w:ascii="宋体" w:hAnsi="宋体" w:cs="宋体"/>
                <w:kern w:val="0"/>
                <w:sz w:val="24"/>
                <w:szCs w:val="24"/>
              </w:rPr>
              <w:t>CX4 本地连接线缆(clip-clip)-300cm</w:t>
            </w:r>
          </w:p>
        </w:tc>
        <w:tc>
          <w:tcPr>
            <w:tcW w:w="992" w:type="dxa"/>
            <w:vAlign w:val="center"/>
          </w:tcPr>
          <w:p w14:paraId="72B81854">
            <w:pPr>
              <w:widowControl/>
              <w:jc w:val="center"/>
              <w:rPr>
                <w:rFonts w:hint="eastAsia" w:ascii="宋体" w:hAnsi="宋体" w:cs="宋体"/>
                <w:kern w:val="0"/>
                <w:sz w:val="24"/>
                <w:szCs w:val="24"/>
              </w:rPr>
            </w:pPr>
            <w:r>
              <w:rPr>
                <w:rFonts w:hint="eastAsia" w:ascii="宋体" w:hAnsi="宋体" w:cs="宋体"/>
                <w:kern w:val="0"/>
                <w:sz w:val="24"/>
                <w:szCs w:val="24"/>
              </w:rPr>
              <w:t>2 根</w:t>
            </w:r>
          </w:p>
        </w:tc>
      </w:tr>
      <w:tr w14:paraId="39376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21995603">
            <w:pPr>
              <w:widowControl/>
              <w:jc w:val="center"/>
              <w:rPr>
                <w:rFonts w:hint="eastAsia" w:ascii="宋体" w:hAnsi="宋体" w:cs="宋体"/>
                <w:kern w:val="0"/>
                <w:sz w:val="24"/>
                <w:szCs w:val="24"/>
              </w:rPr>
            </w:pPr>
          </w:p>
        </w:tc>
        <w:tc>
          <w:tcPr>
            <w:tcW w:w="1672" w:type="dxa"/>
            <w:vMerge w:val="continue"/>
            <w:vAlign w:val="center"/>
          </w:tcPr>
          <w:p w14:paraId="12856265">
            <w:pPr>
              <w:widowControl/>
              <w:jc w:val="center"/>
              <w:rPr>
                <w:rFonts w:hint="eastAsia" w:ascii="宋体" w:hAnsi="宋体" w:cs="宋体"/>
                <w:kern w:val="0"/>
                <w:sz w:val="24"/>
                <w:szCs w:val="24"/>
              </w:rPr>
            </w:pPr>
          </w:p>
        </w:tc>
        <w:tc>
          <w:tcPr>
            <w:tcW w:w="4849" w:type="dxa"/>
            <w:vAlign w:val="center"/>
          </w:tcPr>
          <w:p w14:paraId="221C841A">
            <w:pPr>
              <w:widowControl/>
              <w:jc w:val="left"/>
              <w:rPr>
                <w:rFonts w:hint="eastAsia" w:ascii="宋体" w:hAnsi="宋体" w:cs="宋体"/>
                <w:kern w:val="0"/>
                <w:sz w:val="24"/>
                <w:szCs w:val="24"/>
              </w:rPr>
            </w:pPr>
            <w:r>
              <w:rPr>
                <w:rFonts w:hint="eastAsia" w:ascii="宋体" w:hAnsi="宋体" w:cs="宋体"/>
                <w:kern w:val="0"/>
                <w:sz w:val="24"/>
                <w:szCs w:val="24"/>
              </w:rPr>
              <w:t>H3C S5500 2端口万兆以太网SFP+接口板</w:t>
            </w:r>
          </w:p>
        </w:tc>
        <w:tc>
          <w:tcPr>
            <w:tcW w:w="992" w:type="dxa"/>
            <w:vAlign w:val="center"/>
          </w:tcPr>
          <w:p w14:paraId="3B0490E5">
            <w:pPr>
              <w:widowControl/>
              <w:jc w:val="center"/>
              <w:rPr>
                <w:rFonts w:hint="eastAsia" w:ascii="宋体" w:hAnsi="宋体" w:cs="宋体"/>
                <w:kern w:val="0"/>
                <w:sz w:val="24"/>
                <w:szCs w:val="24"/>
              </w:rPr>
            </w:pPr>
            <w:r>
              <w:rPr>
                <w:rFonts w:hint="eastAsia" w:ascii="宋体" w:hAnsi="宋体" w:cs="宋体"/>
                <w:kern w:val="0"/>
                <w:sz w:val="24"/>
                <w:szCs w:val="24"/>
              </w:rPr>
              <w:t>4 块</w:t>
            </w:r>
          </w:p>
        </w:tc>
      </w:tr>
      <w:tr w14:paraId="63AC5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1D195A61">
            <w:pPr>
              <w:widowControl/>
              <w:jc w:val="center"/>
              <w:rPr>
                <w:rFonts w:hint="eastAsia" w:ascii="宋体" w:hAnsi="宋体" w:cs="宋体"/>
                <w:kern w:val="0"/>
                <w:sz w:val="24"/>
                <w:szCs w:val="24"/>
              </w:rPr>
            </w:pPr>
          </w:p>
        </w:tc>
        <w:tc>
          <w:tcPr>
            <w:tcW w:w="1672" w:type="dxa"/>
            <w:vMerge w:val="continue"/>
            <w:vAlign w:val="center"/>
          </w:tcPr>
          <w:p w14:paraId="70ACF6F4">
            <w:pPr>
              <w:widowControl/>
              <w:jc w:val="center"/>
              <w:rPr>
                <w:rFonts w:hint="eastAsia" w:ascii="宋体" w:hAnsi="宋体" w:cs="宋体"/>
                <w:kern w:val="0"/>
                <w:sz w:val="24"/>
                <w:szCs w:val="24"/>
              </w:rPr>
            </w:pPr>
          </w:p>
        </w:tc>
        <w:tc>
          <w:tcPr>
            <w:tcW w:w="4849" w:type="dxa"/>
            <w:vAlign w:val="center"/>
          </w:tcPr>
          <w:p w14:paraId="368AE5ED">
            <w:pPr>
              <w:widowControl/>
              <w:jc w:val="left"/>
              <w:rPr>
                <w:rFonts w:hint="eastAsia" w:ascii="宋体" w:hAnsi="宋体" w:cs="宋体"/>
                <w:kern w:val="0"/>
                <w:sz w:val="24"/>
                <w:szCs w:val="24"/>
              </w:rPr>
            </w:pPr>
            <w:r>
              <w:rPr>
                <w:rFonts w:hint="eastAsia" w:ascii="宋体" w:hAnsi="宋体" w:cs="宋体"/>
                <w:kern w:val="0"/>
                <w:sz w:val="24"/>
                <w:szCs w:val="24"/>
              </w:rPr>
              <w:t>SFP+ 万兆模块(850nm,300m,LC)</w:t>
            </w:r>
          </w:p>
        </w:tc>
        <w:tc>
          <w:tcPr>
            <w:tcW w:w="992" w:type="dxa"/>
            <w:vAlign w:val="center"/>
          </w:tcPr>
          <w:p w14:paraId="09A39589">
            <w:pPr>
              <w:widowControl/>
              <w:jc w:val="center"/>
              <w:rPr>
                <w:rFonts w:hint="eastAsia" w:ascii="宋体" w:hAnsi="宋体" w:cs="宋体"/>
                <w:kern w:val="0"/>
                <w:sz w:val="24"/>
                <w:szCs w:val="24"/>
              </w:rPr>
            </w:pPr>
            <w:r>
              <w:rPr>
                <w:rFonts w:hint="eastAsia" w:ascii="宋体" w:hAnsi="宋体" w:cs="宋体"/>
                <w:kern w:val="0"/>
                <w:sz w:val="24"/>
                <w:szCs w:val="24"/>
              </w:rPr>
              <w:t>4 个</w:t>
            </w:r>
          </w:p>
        </w:tc>
      </w:tr>
      <w:tr w14:paraId="52C11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650B5DB0">
            <w:pPr>
              <w:widowControl/>
              <w:jc w:val="center"/>
              <w:rPr>
                <w:rFonts w:hint="eastAsia" w:ascii="宋体" w:hAnsi="宋体" w:cs="宋体"/>
                <w:kern w:val="0"/>
                <w:sz w:val="24"/>
                <w:szCs w:val="24"/>
              </w:rPr>
            </w:pPr>
            <w:r>
              <w:rPr>
                <w:rFonts w:hint="eastAsia" w:ascii="宋体" w:hAnsi="宋体" w:cs="宋体"/>
                <w:kern w:val="0"/>
                <w:sz w:val="24"/>
                <w:szCs w:val="24"/>
              </w:rPr>
              <w:t>15</w:t>
            </w:r>
          </w:p>
        </w:tc>
        <w:tc>
          <w:tcPr>
            <w:tcW w:w="1672" w:type="dxa"/>
            <w:vMerge w:val="restart"/>
            <w:vAlign w:val="center"/>
          </w:tcPr>
          <w:p w14:paraId="00161823">
            <w:pPr>
              <w:widowControl/>
              <w:jc w:val="center"/>
              <w:rPr>
                <w:rFonts w:hint="eastAsia" w:ascii="宋体" w:hAnsi="宋体" w:cs="宋体"/>
                <w:kern w:val="0"/>
                <w:sz w:val="24"/>
                <w:szCs w:val="24"/>
              </w:rPr>
            </w:pPr>
            <w:r>
              <w:rPr>
                <w:rFonts w:hint="eastAsia" w:ascii="宋体" w:hAnsi="宋体" w:cs="宋体"/>
                <w:kern w:val="0"/>
                <w:sz w:val="24"/>
                <w:szCs w:val="24"/>
              </w:rPr>
              <w:t>千兆接入交换机</w:t>
            </w:r>
          </w:p>
        </w:tc>
        <w:tc>
          <w:tcPr>
            <w:tcW w:w="4849" w:type="dxa"/>
            <w:vAlign w:val="center"/>
          </w:tcPr>
          <w:p w14:paraId="6AA8991B">
            <w:pPr>
              <w:widowControl/>
              <w:jc w:val="left"/>
              <w:rPr>
                <w:rFonts w:hint="eastAsia" w:ascii="宋体" w:hAnsi="宋体" w:cs="宋体"/>
                <w:kern w:val="0"/>
                <w:sz w:val="24"/>
                <w:szCs w:val="24"/>
              </w:rPr>
            </w:pPr>
            <w:r>
              <w:rPr>
                <w:rFonts w:hint="eastAsia" w:ascii="宋体" w:hAnsi="宋体" w:cs="宋体"/>
                <w:kern w:val="0"/>
                <w:sz w:val="24"/>
                <w:szCs w:val="24"/>
              </w:rPr>
              <w:t>H3C S5120S-52P-EI</w:t>
            </w:r>
          </w:p>
        </w:tc>
        <w:tc>
          <w:tcPr>
            <w:tcW w:w="992" w:type="dxa"/>
            <w:vAlign w:val="center"/>
          </w:tcPr>
          <w:p w14:paraId="610688F5">
            <w:pPr>
              <w:widowControl/>
              <w:jc w:val="center"/>
              <w:rPr>
                <w:rFonts w:hint="eastAsia" w:ascii="宋体" w:hAnsi="宋体" w:cs="宋体"/>
                <w:kern w:val="0"/>
                <w:sz w:val="24"/>
                <w:szCs w:val="24"/>
              </w:rPr>
            </w:pPr>
            <w:r>
              <w:rPr>
                <w:rFonts w:hint="eastAsia" w:ascii="宋体" w:hAnsi="宋体" w:cs="宋体"/>
                <w:kern w:val="0"/>
                <w:sz w:val="24"/>
                <w:szCs w:val="24"/>
              </w:rPr>
              <w:t>27台</w:t>
            </w:r>
          </w:p>
        </w:tc>
      </w:tr>
      <w:tr w14:paraId="3688D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54E590CA">
            <w:pPr>
              <w:widowControl/>
              <w:jc w:val="center"/>
              <w:rPr>
                <w:rFonts w:hint="eastAsia" w:ascii="宋体" w:hAnsi="宋体" w:cs="宋体"/>
                <w:kern w:val="0"/>
                <w:sz w:val="24"/>
                <w:szCs w:val="24"/>
              </w:rPr>
            </w:pPr>
          </w:p>
        </w:tc>
        <w:tc>
          <w:tcPr>
            <w:tcW w:w="1672" w:type="dxa"/>
            <w:vMerge w:val="continue"/>
            <w:vAlign w:val="center"/>
          </w:tcPr>
          <w:p w14:paraId="05F06FAD">
            <w:pPr>
              <w:widowControl/>
              <w:jc w:val="center"/>
              <w:rPr>
                <w:rFonts w:hint="eastAsia" w:ascii="宋体" w:hAnsi="宋体" w:cs="宋体"/>
                <w:kern w:val="0"/>
                <w:sz w:val="24"/>
                <w:szCs w:val="24"/>
              </w:rPr>
            </w:pPr>
          </w:p>
        </w:tc>
        <w:tc>
          <w:tcPr>
            <w:tcW w:w="4849" w:type="dxa"/>
            <w:vAlign w:val="center"/>
          </w:tcPr>
          <w:p w14:paraId="73F8EE9A">
            <w:pPr>
              <w:widowControl/>
              <w:jc w:val="left"/>
              <w:rPr>
                <w:rFonts w:hint="eastAsia" w:ascii="宋体" w:hAnsi="宋体" w:cs="宋体"/>
                <w:kern w:val="0"/>
                <w:sz w:val="24"/>
                <w:szCs w:val="24"/>
              </w:rPr>
            </w:pPr>
            <w:r>
              <w:rPr>
                <w:rFonts w:hint="eastAsia" w:ascii="宋体" w:hAnsi="宋体" w:cs="宋体"/>
                <w:kern w:val="0"/>
                <w:sz w:val="24"/>
                <w:szCs w:val="24"/>
              </w:rPr>
              <w:t>SFP堆叠电缆-（150cm，含堆叠模块）</w:t>
            </w:r>
          </w:p>
        </w:tc>
        <w:tc>
          <w:tcPr>
            <w:tcW w:w="992" w:type="dxa"/>
            <w:vAlign w:val="center"/>
          </w:tcPr>
          <w:p w14:paraId="2FE670F9">
            <w:pPr>
              <w:widowControl/>
              <w:jc w:val="center"/>
              <w:rPr>
                <w:rFonts w:hint="eastAsia" w:ascii="宋体" w:hAnsi="宋体" w:cs="宋体"/>
                <w:kern w:val="0"/>
                <w:sz w:val="24"/>
                <w:szCs w:val="24"/>
              </w:rPr>
            </w:pPr>
            <w:r>
              <w:rPr>
                <w:rFonts w:hint="eastAsia" w:ascii="宋体" w:hAnsi="宋体" w:cs="宋体"/>
                <w:kern w:val="0"/>
                <w:sz w:val="24"/>
                <w:szCs w:val="24"/>
              </w:rPr>
              <w:t>24 根</w:t>
            </w:r>
          </w:p>
        </w:tc>
      </w:tr>
      <w:tr w14:paraId="747D7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39C6F751">
            <w:pPr>
              <w:widowControl/>
              <w:jc w:val="center"/>
              <w:rPr>
                <w:rFonts w:hint="eastAsia" w:ascii="宋体" w:hAnsi="宋体" w:cs="宋体"/>
                <w:kern w:val="0"/>
                <w:sz w:val="24"/>
                <w:szCs w:val="24"/>
              </w:rPr>
            </w:pPr>
          </w:p>
        </w:tc>
        <w:tc>
          <w:tcPr>
            <w:tcW w:w="1672" w:type="dxa"/>
            <w:vMerge w:val="continue"/>
            <w:vAlign w:val="center"/>
          </w:tcPr>
          <w:p w14:paraId="210AC41B">
            <w:pPr>
              <w:widowControl/>
              <w:jc w:val="center"/>
              <w:rPr>
                <w:rFonts w:hint="eastAsia" w:ascii="宋体" w:hAnsi="宋体" w:cs="宋体"/>
                <w:kern w:val="0"/>
                <w:sz w:val="24"/>
                <w:szCs w:val="24"/>
              </w:rPr>
            </w:pPr>
          </w:p>
        </w:tc>
        <w:tc>
          <w:tcPr>
            <w:tcW w:w="4849" w:type="dxa"/>
            <w:vAlign w:val="center"/>
          </w:tcPr>
          <w:p w14:paraId="351205F1">
            <w:pPr>
              <w:widowControl/>
              <w:jc w:val="left"/>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992" w:type="dxa"/>
            <w:vAlign w:val="center"/>
          </w:tcPr>
          <w:p w14:paraId="0F7AC8FE">
            <w:pPr>
              <w:widowControl/>
              <w:jc w:val="center"/>
              <w:rPr>
                <w:rFonts w:hint="eastAsia" w:ascii="宋体" w:hAnsi="宋体" w:cs="宋体"/>
                <w:kern w:val="0"/>
                <w:sz w:val="24"/>
                <w:szCs w:val="24"/>
              </w:rPr>
            </w:pPr>
            <w:r>
              <w:rPr>
                <w:rFonts w:hint="eastAsia" w:ascii="宋体" w:hAnsi="宋体" w:cs="宋体"/>
                <w:kern w:val="0"/>
                <w:sz w:val="24"/>
                <w:szCs w:val="24"/>
              </w:rPr>
              <w:t>26 个</w:t>
            </w:r>
          </w:p>
        </w:tc>
      </w:tr>
      <w:tr w14:paraId="19882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0BFD0685">
            <w:pPr>
              <w:widowControl/>
              <w:jc w:val="center"/>
              <w:rPr>
                <w:rFonts w:hint="eastAsia" w:ascii="宋体" w:hAnsi="宋体" w:cs="宋体"/>
                <w:kern w:val="0"/>
                <w:sz w:val="24"/>
                <w:szCs w:val="24"/>
              </w:rPr>
            </w:pPr>
            <w:r>
              <w:rPr>
                <w:rFonts w:hint="eastAsia" w:ascii="宋体" w:hAnsi="宋体" w:cs="宋体"/>
                <w:kern w:val="0"/>
                <w:sz w:val="24"/>
                <w:szCs w:val="24"/>
              </w:rPr>
              <w:t>16</w:t>
            </w:r>
          </w:p>
        </w:tc>
        <w:tc>
          <w:tcPr>
            <w:tcW w:w="1672" w:type="dxa"/>
            <w:vMerge w:val="restart"/>
            <w:vAlign w:val="center"/>
          </w:tcPr>
          <w:p w14:paraId="04EFC741">
            <w:pPr>
              <w:widowControl/>
              <w:jc w:val="center"/>
              <w:rPr>
                <w:rFonts w:hint="eastAsia" w:ascii="宋体" w:hAnsi="宋体" w:cs="宋体"/>
                <w:kern w:val="0"/>
                <w:sz w:val="24"/>
                <w:szCs w:val="24"/>
              </w:rPr>
            </w:pPr>
            <w:r>
              <w:rPr>
                <w:rFonts w:hint="eastAsia" w:ascii="宋体" w:hAnsi="宋体" w:cs="宋体"/>
                <w:kern w:val="0"/>
                <w:sz w:val="24"/>
                <w:szCs w:val="24"/>
              </w:rPr>
              <w:t>无线控制器</w:t>
            </w:r>
          </w:p>
        </w:tc>
        <w:tc>
          <w:tcPr>
            <w:tcW w:w="4849" w:type="dxa"/>
            <w:vAlign w:val="center"/>
          </w:tcPr>
          <w:p w14:paraId="7DBBBF28">
            <w:pPr>
              <w:widowControl/>
              <w:jc w:val="left"/>
              <w:rPr>
                <w:rFonts w:hint="eastAsia" w:ascii="宋体" w:hAnsi="宋体" w:cs="宋体"/>
                <w:kern w:val="0"/>
                <w:sz w:val="24"/>
                <w:szCs w:val="24"/>
              </w:rPr>
            </w:pPr>
            <w:r>
              <w:rPr>
                <w:rFonts w:hint="eastAsia" w:ascii="宋体" w:hAnsi="宋体" w:cs="宋体"/>
                <w:kern w:val="0"/>
                <w:sz w:val="24"/>
                <w:szCs w:val="24"/>
              </w:rPr>
              <w:t>H3C WX5004-4端口千兆Combo无线控制器</w:t>
            </w:r>
          </w:p>
        </w:tc>
        <w:tc>
          <w:tcPr>
            <w:tcW w:w="992" w:type="dxa"/>
            <w:vAlign w:val="center"/>
          </w:tcPr>
          <w:p w14:paraId="26A16ABA">
            <w:pPr>
              <w:widowControl/>
              <w:jc w:val="center"/>
              <w:rPr>
                <w:rFonts w:hint="eastAsia" w:ascii="宋体" w:hAnsi="宋体" w:cs="宋体"/>
                <w:kern w:val="0"/>
                <w:sz w:val="24"/>
                <w:szCs w:val="24"/>
              </w:rPr>
            </w:pPr>
            <w:r>
              <w:rPr>
                <w:rFonts w:hint="eastAsia" w:ascii="宋体" w:hAnsi="宋体" w:cs="宋体"/>
                <w:kern w:val="0"/>
                <w:sz w:val="24"/>
                <w:szCs w:val="24"/>
              </w:rPr>
              <w:t>2 台</w:t>
            </w:r>
          </w:p>
        </w:tc>
      </w:tr>
      <w:tr w14:paraId="21CAA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17FA983C">
            <w:pPr>
              <w:widowControl/>
              <w:jc w:val="center"/>
              <w:rPr>
                <w:rFonts w:hint="eastAsia" w:ascii="宋体" w:hAnsi="宋体" w:cs="宋体"/>
                <w:kern w:val="0"/>
                <w:sz w:val="24"/>
                <w:szCs w:val="24"/>
              </w:rPr>
            </w:pPr>
          </w:p>
        </w:tc>
        <w:tc>
          <w:tcPr>
            <w:tcW w:w="1672" w:type="dxa"/>
            <w:vMerge w:val="continue"/>
            <w:vAlign w:val="center"/>
          </w:tcPr>
          <w:p w14:paraId="03AF0680">
            <w:pPr>
              <w:widowControl/>
              <w:jc w:val="center"/>
              <w:rPr>
                <w:rFonts w:hint="eastAsia" w:ascii="宋体" w:hAnsi="宋体" w:cs="宋体"/>
                <w:kern w:val="0"/>
                <w:sz w:val="24"/>
                <w:szCs w:val="24"/>
              </w:rPr>
            </w:pPr>
          </w:p>
        </w:tc>
        <w:tc>
          <w:tcPr>
            <w:tcW w:w="4849" w:type="dxa"/>
            <w:vAlign w:val="center"/>
          </w:tcPr>
          <w:p w14:paraId="6C9901A9">
            <w:pPr>
              <w:widowControl/>
              <w:jc w:val="left"/>
              <w:rPr>
                <w:rFonts w:hint="eastAsia" w:ascii="宋体" w:hAnsi="宋体" w:cs="宋体"/>
                <w:kern w:val="0"/>
                <w:sz w:val="24"/>
                <w:szCs w:val="24"/>
              </w:rPr>
            </w:pPr>
            <w:r>
              <w:rPr>
                <w:rFonts w:hint="eastAsia" w:ascii="宋体" w:hAnsi="宋体" w:cs="宋体"/>
                <w:kern w:val="0"/>
                <w:sz w:val="24"/>
                <w:szCs w:val="24"/>
              </w:rPr>
              <w:t>150W 交流电源模块</w:t>
            </w:r>
          </w:p>
        </w:tc>
        <w:tc>
          <w:tcPr>
            <w:tcW w:w="992" w:type="dxa"/>
            <w:vAlign w:val="center"/>
          </w:tcPr>
          <w:p w14:paraId="44E1B432">
            <w:pPr>
              <w:widowControl/>
              <w:jc w:val="center"/>
              <w:rPr>
                <w:rFonts w:hint="eastAsia" w:ascii="宋体" w:hAnsi="宋体" w:cs="宋体"/>
                <w:kern w:val="0"/>
                <w:sz w:val="24"/>
                <w:szCs w:val="24"/>
              </w:rPr>
            </w:pPr>
            <w:r>
              <w:rPr>
                <w:rFonts w:hint="eastAsia" w:ascii="宋体" w:hAnsi="宋体" w:cs="宋体"/>
                <w:kern w:val="0"/>
                <w:sz w:val="24"/>
                <w:szCs w:val="24"/>
              </w:rPr>
              <w:t>4 块</w:t>
            </w:r>
          </w:p>
        </w:tc>
      </w:tr>
      <w:tr w14:paraId="3B67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76C6E49F">
            <w:pPr>
              <w:widowControl/>
              <w:jc w:val="center"/>
              <w:rPr>
                <w:rFonts w:hint="eastAsia" w:ascii="宋体" w:hAnsi="宋体" w:cs="宋体"/>
                <w:kern w:val="0"/>
                <w:sz w:val="24"/>
                <w:szCs w:val="24"/>
              </w:rPr>
            </w:pPr>
          </w:p>
        </w:tc>
        <w:tc>
          <w:tcPr>
            <w:tcW w:w="1672" w:type="dxa"/>
            <w:vMerge w:val="continue"/>
            <w:vAlign w:val="center"/>
          </w:tcPr>
          <w:p w14:paraId="473DAA36">
            <w:pPr>
              <w:widowControl/>
              <w:jc w:val="center"/>
              <w:rPr>
                <w:rFonts w:hint="eastAsia" w:ascii="宋体" w:hAnsi="宋体" w:cs="宋体"/>
                <w:kern w:val="0"/>
                <w:sz w:val="24"/>
                <w:szCs w:val="24"/>
              </w:rPr>
            </w:pPr>
          </w:p>
        </w:tc>
        <w:tc>
          <w:tcPr>
            <w:tcW w:w="4849" w:type="dxa"/>
            <w:vAlign w:val="center"/>
          </w:tcPr>
          <w:p w14:paraId="23B7BC99">
            <w:pPr>
              <w:widowControl/>
              <w:jc w:val="left"/>
              <w:rPr>
                <w:rFonts w:hint="eastAsia" w:ascii="宋体" w:hAnsi="宋体" w:cs="宋体"/>
                <w:kern w:val="0"/>
                <w:sz w:val="24"/>
                <w:szCs w:val="24"/>
              </w:rPr>
            </w:pPr>
            <w:r>
              <w:rPr>
                <w:rFonts w:hint="eastAsia" w:ascii="宋体" w:hAnsi="宋体" w:cs="宋体"/>
                <w:kern w:val="0"/>
                <w:sz w:val="24"/>
                <w:szCs w:val="24"/>
              </w:rPr>
              <w:t>高性能无线控制器license费用-管理32AP</w:t>
            </w:r>
          </w:p>
        </w:tc>
        <w:tc>
          <w:tcPr>
            <w:tcW w:w="992" w:type="dxa"/>
            <w:vAlign w:val="center"/>
          </w:tcPr>
          <w:p w14:paraId="5ACB1166">
            <w:pPr>
              <w:widowControl/>
              <w:jc w:val="center"/>
              <w:rPr>
                <w:rFonts w:hint="eastAsia" w:ascii="宋体" w:hAnsi="宋体" w:cs="宋体"/>
                <w:kern w:val="0"/>
                <w:sz w:val="24"/>
                <w:szCs w:val="24"/>
              </w:rPr>
            </w:pPr>
            <w:r>
              <w:rPr>
                <w:rFonts w:hint="eastAsia" w:ascii="宋体" w:hAnsi="宋体" w:cs="宋体"/>
                <w:kern w:val="0"/>
                <w:sz w:val="24"/>
                <w:szCs w:val="24"/>
              </w:rPr>
              <w:t>4 套</w:t>
            </w:r>
          </w:p>
        </w:tc>
      </w:tr>
      <w:tr w14:paraId="355B6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04C45DA0">
            <w:pPr>
              <w:widowControl/>
              <w:jc w:val="center"/>
              <w:rPr>
                <w:rFonts w:hint="eastAsia" w:ascii="宋体" w:hAnsi="宋体" w:cs="宋体"/>
                <w:kern w:val="0"/>
                <w:sz w:val="24"/>
                <w:szCs w:val="24"/>
              </w:rPr>
            </w:pPr>
          </w:p>
        </w:tc>
        <w:tc>
          <w:tcPr>
            <w:tcW w:w="1672" w:type="dxa"/>
            <w:vMerge w:val="continue"/>
            <w:vAlign w:val="center"/>
          </w:tcPr>
          <w:p w14:paraId="7C48873B">
            <w:pPr>
              <w:widowControl/>
              <w:jc w:val="center"/>
              <w:rPr>
                <w:rFonts w:hint="eastAsia" w:ascii="宋体" w:hAnsi="宋体" w:cs="宋体"/>
                <w:kern w:val="0"/>
                <w:sz w:val="24"/>
                <w:szCs w:val="24"/>
              </w:rPr>
            </w:pPr>
          </w:p>
        </w:tc>
        <w:tc>
          <w:tcPr>
            <w:tcW w:w="4849" w:type="dxa"/>
            <w:vAlign w:val="center"/>
          </w:tcPr>
          <w:p w14:paraId="0578E6E9">
            <w:pPr>
              <w:widowControl/>
              <w:jc w:val="left"/>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992" w:type="dxa"/>
            <w:vAlign w:val="center"/>
          </w:tcPr>
          <w:p w14:paraId="0A3F3185">
            <w:pPr>
              <w:widowControl/>
              <w:jc w:val="center"/>
              <w:rPr>
                <w:rFonts w:hint="eastAsia" w:ascii="宋体" w:hAnsi="宋体" w:cs="宋体"/>
                <w:kern w:val="0"/>
                <w:sz w:val="24"/>
                <w:szCs w:val="24"/>
              </w:rPr>
            </w:pPr>
            <w:r>
              <w:rPr>
                <w:rFonts w:hint="eastAsia" w:ascii="宋体" w:hAnsi="宋体" w:cs="宋体"/>
                <w:kern w:val="0"/>
                <w:sz w:val="24"/>
                <w:szCs w:val="24"/>
              </w:rPr>
              <w:t>4 个</w:t>
            </w:r>
          </w:p>
        </w:tc>
      </w:tr>
      <w:tr w14:paraId="3DC89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0EEFDC58">
            <w:pPr>
              <w:widowControl/>
              <w:jc w:val="center"/>
              <w:rPr>
                <w:rFonts w:hint="eastAsia" w:ascii="宋体" w:hAnsi="宋体" w:cs="宋体"/>
                <w:kern w:val="0"/>
                <w:sz w:val="24"/>
                <w:szCs w:val="24"/>
              </w:rPr>
            </w:pPr>
            <w:r>
              <w:rPr>
                <w:rFonts w:hint="eastAsia" w:ascii="宋体" w:hAnsi="宋体" w:cs="宋体"/>
                <w:kern w:val="0"/>
                <w:sz w:val="24"/>
                <w:szCs w:val="24"/>
              </w:rPr>
              <w:t>17</w:t>
            </w:r>
          </w:p>
        </w:tc>
        <w:tc>
          <w:tcPr>
            <w:tcW w:w="1672" w:type="dxa"/>
            <w:vMerge w:val="restart"/>
            <w:vAlign w:val="center"/>
          </w:tcPr>
          <w:p w14:paraId="22E4DECF">
            <w:pPr>
              <w:widowControl/>
              <w:jc w:val="center"/>
              <w:rPr>
                <w:rFonts w:hint="eastAsia" w:ascii="宋体" w:hAnsi="宋体" w:cs="宋体"/>
                <w:kern w:val="0"/>
                <w:sz w:val="24"/>
                <w:szCs w:val="24"/>
              </w:rPr>
            </w:pPr>
            <w:r>
              <w:rPr>
                <w:rFonts w:hint="eastAsia" w:ascii="宋体" w:hAnsi="宋体" w:cs="宋体"/>
                <w:kern w:val="0"/>
                <w:sz w:val="24"/>
                <w:szCs w:val="24"/>
              </w:rPr>
              <w:t>POE交换机</w:t>
            </w:r>
          </w:p>
        </w:tc>
        <w:tc>
          <w:tcPr>
            <w:tcW w:w="4849" w:type="dxa"/>
            <w:vAlign w:val="center"/>
          </w:tcPr>
          <w:p w14:paraId="41445F93">
            <w:pPr>
              <w:widowControl/>
              <w:jc w:val="left"/>
              <w:rPr>
                <w:rFonts w:hint="eastAsia" w:ascii="宋体" w:hAnsi="宋体" w:cs="宋体"/>
                <w:kern w:val="0"/>
                <w:sz w:val="24"/>
                <w:szCs w:val="24"/>
              </w:rPr>
            </w:pPr>
            <w:r>
              <w:rPr>
                <w:rFonts w:hint="eastAsia" w:ascii="宋体" w:hAnsi="宋体" w:cs="宋体"/>
                <w:kern w:val="0"/>
                <w:sz w:val="24"/>
                <w:szCs w:val="24"/>
              </w:rPr>
              <w:t>H3C S5120-28C-PWR-EI</w:t>
            </w:r>
          </w:p>
        </w:tc>
        <w:tc>
          <w:tcPr>
            <w:tcW w:w="992" w:type="dxa"/>
            <w:vAlign w:val="center"/>
          </w:tcPr>
          <w:p w14:paraId="771362F7">
            <w:pPr>
              <w:widowControl/>
              <w:jc w:val="center"/>
              <w:rPr>
                <w:rFonts w:hint="eastAsia" w:ascii="宋体" w:hAnsi="宋体" w:cs="宋体"/>
                <w:kern w:val="0"/>
                <w:sz w:val="24"/>
                <w:szCs w:val="24"/>
              </w:rPr>
            </w:pPr>
            <w:r>
              <w:rPr>
                <w:rFonts w:hint="eastAsia" w:ascii="宋体" w:hAnsi="宋体" w:cs="宋体"/>
                <w:kern w:val="0"/>
                <w:sz w:val="24"/>
                <w:szCs w:val="24"/>
              </w:rPr>
              <w:t>13 台</w:t>
            </w:r>
          </w:p>
        </w:tc>
      </w:tr>
      <w:tr w14:paraId="64A04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52A4FF7D">
            <w:pPr>
              <w:widowControl/>
              <w:jc w:val="center"/>
              <w:rPr>
                <w:rFonts w:hint="eastAsia" w:ascii="宋体" w:hAnsi="宋体" w:cs="宋体"/>
                <w:kern w:val="0"/>
                <w:sz w:val="24"/>
                <w:szCs w:val="24"/>
              </w:rPr>
            </w:pPr>
          </w:p>
        </w:tc>
        <w:tc>
          <w:tcPr>
            <w:tcW w:w="1672" w:type="dxa"/>
            <w:vMerge w:val="continue"/>
            <w:vAlign w:val="center"/>
          </w:tcPr>
          <w:p w14:paraId="1EEA2D3D">
            <w:pPr>
              <w:widowControl/>
              <w:jc w:val="center"/>
              <w:rPr>
                <w:rFonts w:hint="eastAsia" w:ascii="宋体" w:hAnsi="宋体" w:cs="宋体"/>
                <w:kern w:val="0"/>
                <w:sz w:val="24"/>
                <w:szCs w:val="24"/>
              </w:rPr>
            </w:pPr>
          </w:p>
        </w:tc>
        <w:tc>
          <w:tcPr>
            <w:tcW w:w="4849" w:type="dxa"/>
            <w:vAlign w:val="center"/>
          </w:tcPr>
          <w:p w14:paraId="18D633EF">
            <w:pPr>
              <w:widowControl/>
              <w:jc w:val="left"/>
              <w:rPr>
                <w:rFonts w:hint="eastAsia" w:ascii="宋体" w:hAnsi="宋体" w:cs="宋体"/>
                <w:kern w:val="0"/>
                <w:sz w:val="24"/>
                <w:szCs w:val="24"/>
              </w:rPr>
            </w:pPr>
            <w:r>
              <w:rPr>
                <w:rFonts w:hint="eastAsia" w:ascii="宋体" w:hAnsi="宋体" w:cs="宋体"/>
                <w:kern w:val="0"/>
                <w:sz w:val="24"/>
                <w:szCs w:val="24"/>
              </w:rPr>
              <w:t>光模块-SFP-GE-多模模块-(850nm,0.55km,LC)</w:t>
            </w:r>
          </w:p>
        </w:tc>
        <w:tc>
          <w:tcPr>
            <w:tcW w:w="992" w:type="dxa"/>
            <w:vAlign w:val="center"/>
          </w:tcPr>
          <w:p w14:paraId="6C932932">
            <w:pPr>
              <w:widowControl/>
              <w:jc w:val="center"/>
              <w:rPr>
                <w:rFonts w:hint="eastAsia" w:ascii="宋体" w:hAnsi="宋体" w:cs="宋体"/>
                <w:kern w:val="0"/>
                <w:sz w:val="24"/>
                <w:szCs w:val="24"/>
              </w:rPr>
            </w:pPr>
            <w:r>
              <w:rPr>
                <w:rFonts w:hint="eastAsia" w:ascii="宋体" w:hAnsi="宋体" w:cs="宋体"/>
                <w:kern w:val="0"/>
                <w:sz w:val="24"/>
                <w:szCs w:val="24"/>
              </w:rPr>
              <w:t>26 个</w:t>
            </w:r>
          </w:p>
        </w:tc>
      </w:tr>
      <w:tr w14:paraId="56570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Align w:val="center"/>
          </w:tcPr>
          <w:p w14:paraId="73D24FC7">
            <w:pPr>
              <w:widowControl/>
              <w:jc w:val="center"/>
              <w:rPr>
                <w:rFonts w:hint="eastAsia" w:ascii="宋体" w:hAnsi="宋体" w:cs="宋体"/>
                <w:kern w:val="0"/>
                <w:sz w:val="24"/>
                <w:szCs w:val="24"/>
              </w:rPr>
            </w:pPr>
            <w:r>
              <w:rPr>
                <w:rFonts w:hint="eastAsia" w:ascii="宋体" w:hAnsi="宋体" w:cs="宋体"/>
                <w:kern w:val="0"/>
                <w:sz w:val="24"/>
                <w:szCs w:val="24"/>
              </w:rPr>
              <w:t>18</w:t>
            </w:r>
          </w:p>
        </w:tc>
        <w:tc>
          <w:tcPr>
            <w:tcW w:w="1672" w:type="dxa"/>
            <w:vAlign w:val="center"/>
          </w:tcPr>
          <w:p w14:paraId="664B7CE0">
            <w:pPr>
              <w:widowControl/>
              <w:jc w:val="center"/>
              <w:rPr>
                <w:rFonts w:hint="eastAsia" w:ascii="宋体" w:hAnsi="宋体" w:cs="宋体"/>
                <w:kern w:val="0"/>
                <w:sz w:val="24"/>
                <w:szCs w:val="24"/>
              </w:rPr>
            </w:pPr>
            <w:r>
              <w:rPr>
                <w:rFonts w:hint="eastAsia" w:ascii="宋体" w:hAnsi="宋体" w:cs="宋体"/>
                <w:kern w:val="0"/>
                <w:sz w:val="24"/>
                <w:szCs w:val="24"/>
              </w:rPr>
              <w:t>无线接入点AP</w:t>
            </w:r>
          </w:p>
        </w:tc>
        <w:tc>
          <w:tcPr>
            <w:tcW w:w="4849" w:type="dxa"/>
            <w:vAlign w:val="center"/>
          </w:tcPr>
          <w:p w14:paraId="790299AE">
            <w:pPr>
              <w:widowControl/>
              <w:jc w:val="left"/>
              <w:rPr>
                <w:rFonts w:hint="eastAsia" w:ascii="宋体" w:hAnsi="宋体" w:cs="宋体"/>
                <w:kern w:val="0"/>
                <w:sz w:val="24"/>
                <w:szCs w:val="24"/>
              </w:rPr>
            </w:pPr>
            <w:r>
              <w:rPr>
                <w:rFonts w:hint="eastAsia" w:ascii="宋体" w:hAnsi="宋体" w:cs="宋体"/>
                <w:kern w:val="0"/>
                <w:sz w:val="24"/>
                <w:szCs w:val="24"/>
              </w:rPr>
              <w:t>H3C WA2620i-AGN-802.11n</w:t>
            </w:r>
          </w:p>
        </w:tc>
        <w:tc>
          <w:tcPr>
            <w:tcW w:w="992" w:type="dxa"/>
            <w:vAlign w:val="center"/>
          </w:tcPr>
          <w:p w14:paraId="73CE8F29">
            <w:pPr>
              <w:widowControl/>
              <w:jc w:val="center"/>
              <w:rPr>
                <w:rFonts w:hint="eastAsia" w:ascii="宋体" w:hAnsi="宋体" w:cs="宋体"/>
                <w:kern w:val="0"/>
                <w:sz w:val="24"/>
                <w:szCs w:val="24"/>
              </w:rPr>
            </w:pPr>
            <w:r>
              <w:rPr>
                <w:rFonts w:hint="eastAsia" w:ascii="宋体" w:hAnsi="宋体" w:cs="宋体"/>
                <w:kern w:val="0"/>
                <w:sz w:val="24"/>
                <w:szCs w:val="24"/>
              </w:rPr>
              <w:t>120 个</w:t>
            </w:r>
          </w:p>
        </w:tc>
      </w:tr>
      <w:tr w14:paraId="6C060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63D764C3">
            <w:pPr>
              <w:widowControl/>
              <w:jc w:val="center"/>
              <w:rPr>
                <w:rFonts w:hint="eastAsia" w:ascii="宋体" w:hAnsi="宋体" w:cs="宋体"/>
                <w:kern w:val="0"/>
                <w:sz w:val="24"/>
                <w:szCs w:val="24"/>
              </w:rPr>
            </w:pPr>
            <w:r>
              <w:rPr>
                <w:rFonts w:hint="eastAsia" w:ascii="宋体" w:hAnsi="宋体" w:cs="宋体"/>
                <w:kern w:val="0"/>
                <w:sz w:val="24"/>
                <w:szCs w:val="24"/>
              </w:rPr>
              <w:t>19</w:t>
            </w:r>
          </w:p>
        </w:tc>
        <w:tc>
          <w:tcPr>
            <w:tcW w:w="1672" w:type="dxa"/>
            <w:vMerge w:val="restart"/>
            <w:vAlign w:val="center"/>
          </w:tcPr>
          <w:p w14:paraId="594174FD">
            <w:pPr>
              <w:widowControl/>
              <w:jc w:val="center"/>
              <w:rPr>
                <w:rFonts w:hint="eastAsia" w:ascii="宋体" w:hAnsi="宋体" w:cs="宋体"/>
                <w:kern w:val="0"/>
                <w:sz w:val="24"/>
                <w:szCs w:val="24"/>
              </w:rPr>
            </w:pPr>
            <w:r>
              <w:rPr>
                <w:rFonts w:hint="eastAsia" w:ascii="宋体" w:hAnsi="宋体" w:cs="宋体"/>
                <w:kern w:val="0"/>
                <w:sz w:val="24"/>
                <w:szCs w:val="24"/>
              </w:rPr>
              <w:t>基础网络管理系统</w:t>
            </w:r>
          </w:p>
        </w:tc>
        <w:tc>
          <w:tcPr>
            <w:tcW w:w="4849" w:type="dxa"/>
            <w:vAlign w:val="center"/>
          </w:tcPr>
          <w:p w14:paraId="3F31FA2F">
            <w:pPr>
              <w:widowControl/>
              <w:jc w:val="left"/>
              <w:rPr>
                <w:rFonts w:hint="eastAsia" w:ascii="宋体" w:hAnsi="宋体" w:cs="宋体"/>
                <w:kern w:val="0"/>
                <w:sz w:val="24"/>
                <w:szCs w:val="24"/>
              </w:rPr>
            </w:pPr>
            <w:r>
              <w:rPr>
                <w:rFonts w:hint="eastAsia" w:ascii="宋体" w:hAnsi="宋体" w:cs="宋体"/>
                <w:kern w:val="0"/>
                <w:sz w:val="24"/>
                <w:szCs w:val="24"/>
              </w:rPr>
              <w:t xml:space="preserve">智能网络管理硬件平台-R390 </w:t>
            </w:r>
          </w:p>
        </w:tc>
        <w:tc>
          <w:tcPr>
            <w:tcW w:w="992" w:type="dxa"/>
            <w:vAlign w:val="center"/>
          </w:tcPr>
          <w:p w14:paraId="7B57A29B">
            <w:pPr>
              <w:widowControl/>
              <w:jc w:val="center"/>
              <w:rPr>
                <w:rFonts w:hint="eastAsia" w:ascii="宋体" w:hAnsi="宋体" w:cs="宋体"/>
                <w:kern w:val="0"/>
                <w:sz w:val="24"/>
                <w:szCs w:val="24"/>
              </w:rPr>
            </w:pPr>
            <w:r>
              <w:rPr>
                <w:rFonts w:hint="eastAsia" w:ascii="宋体" w:hAnsi="宋体" w:cs="宋体"/>
                <w:kern w:val="0"/>
                <w:sz w:val="24"/>
                <w:szCs w:val="24"/>
              </w:rPr>
              <w:t>1 台</w:t>
            </w:r>
          </w:p>
        </w:tc>
      </w:tr>
      <w:tr w14:paraId="3A89D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3DC9D44E">
            <w:pPr>
              <w:widowControl/>
              <w:jc w:val="center"/>
              <w:rPr>
                <w:rFonts w:hint="eastAsia" w:ascii="宋体" w:hAnsi="宋体" w:cs="宋体"/>
                <w:kern w:val="0"/>
                <w:sz w:val="24"/>
                <w:szCs w:val="24"/>
              </w:rPr>
            </w:pPr>
          </w:p>
        </w:tc>
        <w:tc>
          <w:tcPr>
            <w:tcW w:w="1672" w:type="dxa"/>
            <w:vMerge w:val="continue"/>
            <w:vAlign w:val="center"/>
          </w:tcPr>
          <w:p w14:paraId="02E2972C">
            <w:pPr>
              <w:widowControl/>
              <w:jc w:val="center"/>
              <w:rPr>
                <w:rFonts w:hint="eastAsia" w:ascii="宋体" w:hAnsi="宋体" w:cs="宋体"/>
                <w:kern w:val="0"/>
                <w:sz w:val="24"/>
                <w:szCs w:val="24"/>
              </w:rPr>
            </w:pPr>
          </w:p>
        </w:tc>
        <w:tc>
          <w:tcPr>
            <w:tcW w:w="4849" w:type="dxa"/>
            <w:vAlign w:val="center"/>
          </w:tcPr>
          <w:p w14:paraId="49CE1680">
            <w:pPr>
              <w:widowControl/>
              <w:jc w:val="left"/>
              <w:rPr>
                <w:rFonts w:hint="eastAsia" w:ascii="宋体" w:hAnsi="宋体" w:cs="宋体"/>
                <w:kern w:val="0"/>
                <w:sz w:val="24"/>
                <w:szCs w:val="24"/>
              </w:rPr>
            </w:pPr>
            <w:r>
              <w:rPr>
                <w:rFonts w:hint="eastAsia" w:ascii="宋体" w:hAnsi="宋体" w:cs="宋体"/>
                <w:kern w:val="0"/>
                <w:sz w:val="24"/>
                <w:szCs w:val="24"/>
              </w:rPr>
              <w:t>H3C iMC-智能管理平台标准版(不含节点)-纯软件(DVD)</w:t>
            </w:r>
          </w:p>
        </w:tc>
        <w:tc>
          <w:tcPr>
            <w:tcW w:w="992" w:type="dxa"/>
            <w:vAlign w:val="center"/>
          </w:tcPr>
          <w:p w14:paraId="02420A18">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79D34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5575E904">
            <w:pPr>
              <w:widowControl/>
              <w:jc w:val="center"/>
              <w:rPr>
                <w:rFonts w:hint="eastAsia" w:ascii="宋体" w:hAnsi="宋体" w:cs="宋体"/>
                <w:kern w:val="0"/>
                <w:sz w:val="24"/>
                <w:szCs w:val="24"/>
              </w:rPr>
            </w:pPr>
          </w:p>
        </w:tc>
        <w:tc>
          <w:tcPr>
            <w:tcW w:w="1672" w:type="dxa"/>
            <w:vMerge w:val="continue"/>
            <w:vAlign w:val="center"/>
          </w:tcPr>
          <w:p w14:paraId="277910E0">
            <w:pPr>
              <w:widowControl/>
              <w:jc w:val="center"/>
              <w:rPr>
                <w:rFonts w:hint="eastAsia" w:ascii="宋体" w:hAnsi="宋体" w:cs="宋体"/>
                <w:kern w:val="0"/>
                <w:sz w:val="24"/>
                <w:szCs w:val="24"/>
              </w:rPr>
            </w:pPr>
          </w:p>
        </w:tc>
        <w:tc>
          <w:tcPr>
            <w:tcW w:w="4849" w:type="dxa"/>
            <w:vAlign w:val="center"/>
          </w:tcPr>
          <w:p w14:paraId="6A8933B8">
            <w:pPr>
              <w:widowControl/>
              <w:jc w:val="left"/>
              <w:rPr>
                <w:rFonts w:hint="eastAsia" w:ascii="宋体" w:hAnsi="宋体" w:cs="宋体"/>
                <w:kern w:val="0"/>
                <w:sz w:val="24"/>
                <w:szCs w:val="24"/>
              </w:rPr>
            </w:pPr>
            <w:r>
              <w:rPr>
                <w:rFonts w:hint="eastAsia" w:ascii="宋体" w:hAnsi="宋体" w:cs="宋体"/>
                <w:kern w:val="0"/>
                <w:sz w:val="24"/>
                <w:szCs w:val="24"/>
              </w:rPr>
              <w:t>H3C iMC-智能管理平台标准版管理50节点License</w:t>
            </w:r>
          </w:p>
        </w:tc>
        <w:tc>
          <w:tcPr>
            <w:tcW w:w="992" w:type="dxa"/>
            <w:vAlign w:val="center"/>
          </w:tcPr>
          <w:p w14:paraId="2C920B96">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08D87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39A40766">
            <w:pPr>
              <w:widowControl/>
              <w:jc w:val="center"/>
              <w:rPr>
                <w:rFonts w:hint="eastAsia" w:ascii="宋体" w:hAnsi="宋体" w:cs="宋体"/>
                <w:kern w:val="0"/>
                <w:sz w:val="24"/>
                <w:szCs w:val="24"/>
              </w:rPr>
            </w:pPr>
            <w:r>
              <w:rPr>
                <w:rFonts w:hint="eastAsia" w:ascii="宋体" w:hAnsi="宋体" w:cs="宋体"/>
                <w:kern w:val="0"/>
                <w:sz w:val="24"/>
                <w:szCs w:val="24"/>
              </w:rPr>
              <w:t>20</w:t>
            </w:r>
          </w:p>
        </w:tc>
        <w:tc>
          <w:tcPr>
            <w:tcW w:w="1672" w:type="dxa"/>
            <w:vMerge w:val="restart"/>
            <w:vAlign w:val="center"/>
          </w:tcPr>
          <w:p w14:paraId="64BCA6B3">
            <w:pPr>
              <w:widowControl/>
              <w:jc w:val="center"/>
              <w:rPr>
                <w:rFonts w:hint="eastAsia" w:ascii="宋体" w:hAnsi="宋体" w:cs="宋体"/>
                <w:kern w:val="0"/>
                <w:sz w:val="24"/>
                <w:szCs w:val="24"/>
              </w:rPr>
            </w:pPr>
            <w:r>
              <w:rPr>
                <w:rFonts w:hint="eastAsia" w:ascii="宋体" w:hAnsi="宋体" w:cs="宋体"/>
                <w:kern w:val="0"/>
                <w:sz w:val="24"/>
                <w:szCs w:val="24"/>
              </w:rPr>
              <w:t>无线网络管理系统管理</w:t>
            </w:r>
          </w:p>
        </w:tc>
        <w:tc>
          <w:tcPr>
            <w:tcW w:w="4849" w:type="dxa"/>
            <w:vAlign w:val="center"/>
          </w:tcPr>
          <w:p w14:paraId="34540848">
            <w:pPr>
              <w:widowControl/>
              <w:jc w:val="left"/>
              <w:rPr>
                <w:rFonts w:hint="eastAsia" w:ascii="宋体" w:hAnsi="宋体" w:cs="宋体"/>
                <w:kern w:val="0"/>
                <w:sz w:val="24"/>
                <w:szCs w:val="24"/>
              </w:rPr>
            </w:pPr>
            <w:r>
              <w:rPr>
                <w:rFonts w:hint="eastAsia" w:ascii="宋体" w:hAnsi="宋体" w:cs="宋体"/>
                <w:kern w:val="0"/>
                <w:sz w:val="24"/>
                <w:szCs w:val="24"/>
              </w:rPr>
              <w:t>H3C iMC-WSM无线业务管理组件</w:t>
            </w:r>
          </w:p>
        </w:tc>
        <w:tc>
          <w:tcPr>
            <w:tcW w:w="992" w:type="dxa"/>
            <w:vAlign w:val="center"/>
          </w:tcPr>
          <w:p w14:paraId="16CE712C">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64C10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7324A63A">
            <w:pPr>
              <w:widowControl/>
              <w:jc w:val="center"/>
              <w:rPr>
                <w:rFonts w:hint="eastAsia" w:ascii="宋体" w:hAnsi="宋体" w:cs="宋体"/>
                <w:kern w:val="0"/>
                <w:sz w:val="24"/>
                <w:szCs w:val="24"/>
              </w:rPr>
            </w:pPr>
          </w:p>
        </w:tc>
        <w:tc>
          <w:tcPr>
            <w:tcW w:w="1672" w:type="dxa"/>
            <w:vMerge w:val="continue"/>
            <w:vAlign w:val="center"/>
          </w:tcPr>
          <w:p w14:paraId="600A06FD">
            <w:pPr>
              <w:widowControl/>
              <w:jc w:val="center"/>
              <w:rPr>
                <w:rFonts w:hint="eastAsia" w:ascii="宋体" w:hAnsi="宋体" w:cs="宋体"/>
                <w:kern w:val="0"/>
                <w:sz w:val="24"/>
                <w:szCs w:val="24"/>
              </w:rPr>
            </w:pPr>
          </w:p>
        </w:tc>
        <w:tc>
          <w:tcPr>
            <w:tcW w:w="4849" w:type="dxa"/>
            <w:vAlign w:val="center"/>
          </w:tcPr>
          <w:p w14:paraId="7BBB04ED">
            <w:pPr>
              <w:widowControl/>
              <w:jc w:val="left"/>
              <w:rPr>
                <w:rFonts w:hint="eastAsia" w:ascii="宋体" w:hAnsi="宋体" w:cs="宋体"/>
                <w:kern w:val="0"/>
                <w:sz w:val="24"/>
                <w:szCs w:val="24"/>
              </w:rPr>
            </w:pPr>
            <w:r>
              <w:rPr>
                <w:rFonts w:hint="eastAsia" w:ascii="宋体" w:hAnsi="宋体" w:cs="宋体"/>
                <w:kern w:val="0"/>
                <w:sz w:val="24"/>
                <w:szCs w:val="24"/>
              </w:rPr>
              <w:t xml:space="preserve">H3C iMC-WSM无线业务管理组件管理200台Fit AP设备License </w:t>
            </w:r>
          </w:p>
        </w:tc>
        <w:tc>
          <w:tcPr>
            <w:tcW w:w="992" w:type="dxa"/>
            <w:vAlign w:val="center"/>
          </w:tcPr>
          <w:p w14:paraId="50B90350">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7159B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restart"/>
            <w:vAlign w:val="center"/>
          </w:tcPr>
          <w:p w14:paraId="5B47E800">
            <w:pPr>
              <w:widowControl/>
              <w:jc w:val="center"/>
              <w:rPr>
                <w:rFonts w:hint="eastAsia" w:ascii="宋体" w:hAnsi="宋体" w:cs="宋体"/>
                <w:kern w:val="0"/>
                <w:sz w:val="24"/>
                <w:szCs w:val="24"/>
              </w:rPr>
            </w:pPr>
            <w:r>
              <w:rPr>
                <w:rFonts w:hint="eastAsia" w:ascii="宋体" w:hAnsi="宋体" w:cs="宋体"/>
                <w:kern w:val="0"/>
                <w:sz w:val="24"/>
                <w:szCs w:val="24"/>
              </w:rPr>
              <w:t>21</w:t>
            </w:r>
          </w:p>
        </w:tc>
        <w:tc>
          <w:tcPr>
            <w:tcW w:w="1672" w:type="dxa"/>
            <w:vMerge w:val="restart"/>
            <w:vAlign w:val="center"/>
          </w:tcPr>
          <w:p w14:paraId="709C1EB0">
            <w:pPr>
              <w:widowControl/>
              <w:jc w:val="center"/>
              <w:rPr>
                <w:rFonts w:hint="eastAsia" w:ascii="宋体" w:hAnsi="宋体" w:cs="宋体"/>
                <w:kern w:val="0"/>
                <w:sz w:val="24"/>
                <w:szCs w:val="24"/>
              </w:rPr>
            </w:pPr>
            <w:r>
              <w:rPr>
                <w:rFonts w:hint="eastAsia" w:ascii="宋体" w:hAnsi="宋体" w:cs="宋体"/>
                <w:kern w:val="0"/>
                <w:sz w:val="24"/>
                <w:szCs w:val="24"/>
              </w:rPr>
              <w:t>用户接入认证系统</w:t>
            </w:r>
          </w:p>
        </w:tc>
        <w:tc>
          <w:tcPr>
            <w:tcW w:w="4849" w:type="dxa"/>
            <w:vAlign w:val="center"/>
          </w:tcPr>
          <w:p w14:paraId="30524C36">
            <w:pPr>
              <w:widowControl/>
              <w:jc w:val="left"/>
              <w:rPr>
                <w:rFonts w:hint="eastAsia" w:ascii="宋体" w:hAnsi="宋体" w:cs="宋体"/>
                <w:kern w:val="0"/>
                <w:sz w:val="24"/>
                <w:szCs w:val="24"/>
              </w:rPr>
            </w:pPr>
            <w:r>
              <w:rPr>
                <w:rFonts w:hint="eastAsia" w:ascii="宋体" w:hAnsi="宋体" w:cs="宋体"/>
                <w:kern w:val="0"/>
                <w:sz w:val="24"/>
                <w:szCs w:val="24"/>
              </w:rPr>
              <w:t>H3C iMC-EIA终端智能接入组件</w:t>
            </w:r>
          </w:p>
        </w:tc>
        <w:tc>
          <w:tcPr>
            <w:tcW w:w="992" w:type="dxa"/>
            <w:vAlign w:val="center"/>
          </w:tcPr>
          <w:p w14:paraId="60427A46">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4D971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19661ABB">
            <w:pPr>
              <w:widowControl/>
              <w:jc w:val="center"/>
              <w:rPr>
                <w:rFonts w:hint="eastAsia" w:ascii="宋体" w:hAnsi="宋体" w:cs="宋体"/>
                <w:kern w:val="0"/>
                <w:sz w:val="24"/>
                <w:szCs w:val="24"/>
              </w:rPr>
            </w:pPr>
          </w:p>
        </w:tc>
        <w:tc>
          <w:tcPr>
            <w:tcW w:w="1672" w:type="dxa"/>
            <w:vMerge w:val="continue"/>
            <w:vAlign w:val="center"/>
          </w:tcPr>
          <w:p w14:paraId="7D1C330C">
            <w:pPr>
              <w:widowControl/>
              <w:jc w:val="center"/>
              <w:rPr>
                <w:rFonts w:hint="eastAsia" w:ascii="宋体" w:hAnsi="宋体" w:cs="宋体"/>
                <w:kern w:val="0"/>
                <w:sz w:val="24"/>
                <w:szCs w:val="24"/>
              </w:rPr>
            </w:pPr>
          </w:p>
        </w:tc>
        <w:tc>
          <w:tcPr>
            <w:tcW w:w="4849" w:type="dxa"/>
            <w:vAlign w:val="center"/>
          </w:tcPr>
          <w:p w14:paraId="3DDF5FA0">
            <w:pPr>
              <w:widowControl/>
              <w:jc w:val="left"/>
              <w:rPr>
                <w:rFonts w:hint="eastAsia" w:ascii="宋体" w:hAnsi="宋体" w:cs="宋体"/>
                <w:kern w:val="0"/>
                <w:sz w:val="24"/>
                <w:szCs w:val="24"/>
              </w:rPr>
            </w:pPr>
            <w:r>
              <w:rPr>
                <w:rFonts w:hint="eastAsia" w:ascii="宋体" w:hAnsi="宋体" w:cs="宋体"/>
                <w:kern w:val="0"/>
                <w:sz w:val="24"/>
                <w:szCs w:val="24"/>
              </w:rPr>
              <w:t>H3C iMC-EIA终端智能接入组件-50 License</w:t>
            </w:r>
          </w:p>
        </w:tc>
        <w:tc>
          <w:tcPr>
            <w:tcW w:w="992" w:type="dxa"/>
            <w:vAlign w:val="center"/>
          </w:tcPr>
          <w:p w14:paraId="3D64582A">
            <w:pPr>
              <w:widowControl/>
              <w:jc w:val="center"/>
              <w:rPr>
                <w:rFonts w:hint="eastAsia" w:ascii="宋体" w:hAnsi="宋体" w:cs="宋体"/>
                <w:kern w:val="0"/>
                <w:sz w:val="24"/>
                <w:szCs w:val="24"/>
              </w:rPr>
            </w:pPr>
            <w:r>
              <w:rPr>
                <w:rFonts w:hint="eastAsia" w:ascii="宋体" w:hAnsi="宋体" w:cs="宋体"/>
                <w:kern w:val="0"/>
                <w:sz w:val="24"/>
                <w:szCs w:val="24"/>
              </w:rPr>
              <w:t>2 套</w:t>
            </w:r>
          </w:p>
        </w:tc>
      </w:tr>
      <w:tr w14:paraId="64E73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09" w:type="dxa"/>
            <w:vMerge w:val="continue"/>
            <w:vAlign w:val="center"/>
          </w:tcPr>
          <w:p w14:paraId="3780CE0F">
            <w:pPr>
              <w:widowControl/>
              <w:jc w:val="center"/>
              <w:rPr>
                <w:rFonts w:hint="eastAsia" w:ascii="宋体" w:hAnsi="宋体" w:cs="宋体"/>
                <w:kern w:val="0"/>
                <w:sz w:val="24"/>
                <w:szCs w:val="24"/>
              </w:rPr>
            </w:pPr>
          </w:p>
        </w:tc>
        <w:tc>
          <w:tcPr>
            <w:tcW w:w="1672" w:type="dxa"/>
            <w:vMerge w:val="continue"/>
            <w:vAlign w:val="center"/>
          </w:tcPr>
          <w:p w14:paraId="636DE9AB">
            <w:pPr>
              <w:widowControl/>
              <w:jc w:val="center"/>
              <w:rPr>
                <w:rFonts w:hint="eastAsia" w:ascii="宋体" w:hAnsi="宋体" w:cs="宋体"/>
                <w:kern w:val="0"/>
                <w:sz w:val="24"/>
                <w:szCs w:val="24"/>
              </w:rPr>
            </w:pPr>
          </w:p>
        </w:tc>
        <w:tc>
          <w:tcPr>
            <w:tcW w:w="4849" w:type="dxa"/>
            <w:vAlign w:val="center"/>
          </w:tcPr>
          <w:p w14:paraId="0AAA2542">
            <w:pPr>
              <w:widowControl/>
              <w:jc w:val="left"/>
              <w:rPr>
                <w:rFonts w:hint="eastAsia" w:ascii="宋体" w:hAnsi="宋体" w:cs="宋体"/>
                <w:kern w:val="0"/>
                <w:sz w:val="24"/>
                <w:szCs w:val="24"/>
              </w:rPr>
            </w:pPr>
            <w:r>
              <w:rPr>
                <w:rFonts w:hint="eastAsia" w:ascii="宋体" w:hAnsi="宋体" w:cs="宋体"/>
                <w:kern w:val="0"/>
                <w:sz w:val="24"/>
                <w:szCs w:val="24"/>
              </w:rPr>
              <w:t>H3C iMC-EIA终端智能接入组件-500 License</w:t>
            </w:r>
          </w:p>
        </w:tc>
        <w:tc>
          <w:tcPr>
            <w:tcW w:w="992" w:type="dxa"/>
            <w:vAlign w:val="center"/>
          </w:tcPr>
          <w:p w14:paraId="3C640A2D">
            <w:pPr>
              <w:widowControl/>
              <w:jc w:val="center"/>
              <w:rPr>
                <w:rFonts w:hint="eastAsia" w:ascii="宋体" w:hAnsi="宋体" w:cs="宋体"/>
                <w:kern w:val="0"/>
                <w:sz w:val="24"/>
                <w:szCs w:val="24"/>
              </w:rPr>
            </w:pPr>
            <w:r>
              <w:rPr>
                <w:rFonts w:hint="eastAsia" w:ascii="宋体" w:hAnsi="宋体" w:cs="宋体"/>
                <w:kern w:val="0"/>
                <w:sz w:val="24"/>
                <w:szCs w:val="24"/>
              </w:rPr>
              <w:t>1 套</w:t>
            </w:r>
          </w:p>
        </w:tc>
      </w:tr>
      <w:tr w14:paraId="3B975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157C5771">
            <w:pPr>
              <w:jc w:val="center"/>
              <w:rPr>
                <w:rFonts w:hint="eastAsia" w:ascii="宋体" w:hAnsi="宋体" w:cs="Courier New"/>
                <w:kern w:val="0"/>
                <w:sz w:val="24"/>
                <w:szCs w:val="24"/>
              </w:rPr>
            </w:pPr>
            <w:r>
              <w:rPr>
                <w:rFonts w:hint="eastAsia" w:ascii="宋体" w:hAnsi="宋体" w:cs="Courier New"/>
                <w:kern w:val="0"/>
                <w:sz w:val="24"/>
                <w:szCs w:val="24"/>
              </w:rPr>
              <w:t>22</w:t>
            </w:r>
          </w:p>
        </w:tc>
        <w:tc>
          <w:tcPr>
            <w:tcW w:w="1672" w:type="dxa"/>
            <w:vAlign w:val="center"/>
          </w:tcPr>
          <w:p w14:paraId="5E333A87">
            <w:pPr>
              <w:jc w:val="center"/>
              <w:rPr>
                <w:rFonts w:hint="eastAsia" w:ascii="宋体" w:hAnsi="宋体" w:cs="Courier New"/>
                <w:kern w:val="0"/>
                <w:sz w:val="24"/>
                <w:szCs w:val="24"/>
              </w:rPr>
            </w:pPr>
            <w:r>
              <w:rPr>
                <w:rFonts w:hint="eastAsia" w:ascii="宋体" w:hAnsi="宋体" w:cs="Courier New"/>
                <w:kern w:val="0"/>
                <w:sz w:val="24"/>
                <w:szCs w:val="24"/>
              </w:rPr>
              <w:t>虚拟化软件运维服务</w:t>
            </w:r>
          </w:p>
        </w:tc>
        <w:tc>
          <w:tcPr>
            <w:tcW w:w="4849" w:type="dxa"/>
            <w:vAlign w:val="center"/>
          </w:tcPr>
          <w:p w14:paraId="6E593AE3">
            <w:pPr>
              <w:jc w:val="left"/>
              <w:rPr>
                <w:rFonts w:hint="eastAsia" w:ascii="宋体" w:hAnsi="宋体" w:cs="Courier New"/>
                <w:kern w:val="0"/>
                <w:sz w:val="24"/>
                <w:szCs w:val="24"/>
              </w:rPr>
            </w:pPr>
            <w:r>
              <w:rPr>
                <w:rFonts w:hint="eastAsia" w:ascii="宋体" w:hAnsi="宋体" w:cs="Courier New"/>
                <w:kern w:val="0"/>
                <w:sz w:val="24"/>
                <w:szCs w:val="24"/>
              </w:rPr>
              <w:t>现有服务器虚拟化及虚拟化桌面及的日常维护、操作、故障处理，需要虚拟化桌面认证工程师资格现场服务</w:t>
            </w:r>
          </w:p>
        </w:tc>
        <w:tc>
          <w:tcPr>
            <w:tcW w:w="992" w:type="dxa"/>
            <w:vAlign w:val="center"/>
          </w:tcPr>
          <w:p w14:paraId="7034FB3E">
            <w:pPr>
              <w:jc w:val="center"/>
              <w:rPr>
                <w:rFonts w:hint="eastAsia" w:ascii="宋体" w:hAnsi="宋体" w:cs="Courier New"/>
                <w:kern w:val="0"/>
                <w:sz w:val="24"/>
                <w:szCs w:val="24"/>
              </w:rPr>
            </w:pPr>
            <w:r>
              <w:rPr>
                <w:rFonts w:hint="eastAsia" w:ascii="宋体" w:hAnsi="宋体" w:cs="Courier New"/>
                <w:kern w:val="0"/>
                <w:sz w:val="24"/>
                <w:szCs w:val="24"/>
              </w:rPr>
              <w:t>1批</w:t>
            </w:r>
          </w:p>
        </w:tc>
      </w:tr>
      <w:tr w14:paraId="25A37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92C1419">
            <w:pPr>
              <w:jc w:val="center"/>
              <w:rPr>
                <w:rFonts w:hint="eastAsia" w:ascii="宋体" w:hAnsi="宋体" w:cs="Courier New"/>
                <w:kern w:val="0"/>
                <w:sz w:val="24"/>
                <w:szCs w:val="24"/>
              </w:rPr>
            </w:pPr>
            <w:r>
              <w:rPr>
                <w:rFonts w:hint="eastAsia" w:ascii="宋体" w:hAnsi="宋体" w:cs="Courier New"/>
                <w:kern w:val="0"/>
                <w:sz w:val="24"/>
                <w:szCs w:val="24"/>
              </w:rPr>
              <w:t>23</w:t>
            </w:r>
          </w:p>
        </w:tc>
        <w:tc>
          <w:tcPr>
            <w:tcW w:w="1672" w:type="dxa"/>
            <w:vAlign w:val="center"/>
          </w:tcPr>
          <w:p w14:paraId="6B0BE47D">
            <w:pPr>
              <w:jc w:val="center"/>
              <w:rPr>
                <w:rFonts w:hint="eastAsia" w:ascii="宋体" w:hAnsi="宋体" w:cs="Courier New"/>
                <w:kern w:val="0"/>
                <w:sz w:val="24"/>
                <w:szCs w:val="24"/>
              </w:rPr>
            </w:pPr>
            <w:r>
              <w:rPr>
                <w:rFonts w:hint="eastAsia" w:ascii="宋体" w:hAnsi="宋体" w:cs="Courier New"/>
                <w:kern w:val="0"/>
                <w:sz w:val="24"/>
                <w:szCs w:val="24"/>
              </w:rPr>
              <w:t>数据库及操作系统</w:t>
            </w:r>
          </w:p>
        </w:tc>
        <w:tc>
          <w:tcPr>
            <w:tcW w:w="4849" w:type="dxa"/>
            <w:vAlign w:val="center"/>
          </w:tcPr>
          <w:p w14:paraId="42496E58">
            <w:pPr>
              <w:jc w:val="left"/>
              <w:rPr>
                <w:rFonts w:hint="eastAsia" w:ascii="宋体" w:hAnsi="宋体" w:cs="Courier New"/>
                <w:kern w:val="0"/>
                <w:sz w:val="24"/>
                <w:szCs w:val="24"/>
              </w:rPr>
            </w:pPr>
            <w:r>
              <w:rPr>
                <w:rFonts w:hint="eastAsia" w:ascii="宋体" w:hAnsi="宋体" w:cs="Courier New"/>
                <w:kern w:val="0"/>
                <w:sz w:val="24"/>
                <w:szCs w:val="24"/>
              </w:rPr>
              <w:t>提供图书馆现有数据库及服务器操作系统日常维护服务工作</w:t>
            </w:r>
          </w:p>
        </w:tc>
        <w:tc>
          <w:tcPr>
            <w:tcW w:w="992" w:type="dxa"/>
            <w:vAlign w:val="center"/>
          </w:tcPr>
          <w:p w14:paraId="161B0535">
            <w:pPr>
              <w:jc w:val="center"/>
              <w:rPr>
                <w:rFonts w:hint="eastAsia" w:ascii="宋体" w:hAnsi="宋体" w:cs="Courier New"/>
                <w:kern w:val="0"/>
                <w:sz w:val="24"/>
                <w:szCs w:val="24"/>
              </w:rPr>
            </w:pPr>
            <w:r>
              <w:rPr>
                <w:rFonts w:hint="eastAsia" w:ascii="宋体" w:hAnsi="宋体" w:cs="Courier New"/>
                <w:kern w:val="0"/>
                <w:sz w:val="24"/>
                <w:szCs w:val="24"/>
              </w:rPr>
              <w:t>1批</w:t>
            </w:r>
          </w:p>
        </w:tc>
      </w:tr>
      <w:tr w14:paraId="3CAF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09" w:type="dxa"/>
            <w:vAlign w:val="center"/>
          </w:tcPr>
          <w:p w14:paraId="0A220188">
            <w:pPr>
              <w:jc w:val="center"/>
              <w:rPr>
                <w:rFonts w:hint="eastAsia" w:ascii="宋体" w:hAnsi="宋体" w:cs="Courier New"/>
                <w:kern w:val="0"/>
                <w:sz w:val="24"/>
                <w:szCs w:val="24"/>
              </w:rPr>
            </w:pPr>
            <w:r>
              <w:rPr>
                <w:rFonts w:hint="eastAsia" w:ascii="宋体" w:hAnsi="宋体" w:cs="Courier New"/>
                <w:kern w:val="0"/>
                <w:sz w:val="24"/>
                <w:szCs w:val="24"/>
              </w:rPr>
              <w:t>24</w:t>
            </w:r>
          </w:p>
        </w:tc>
        <w:tc>
          <w:tcPr>
            <w:tcW w:w="1672" w:type="dxa"/>
            <w:vAlign w:val="center"/>
          </w:tcPr>
          <w:p w14:paraId="55A1813E">
            <w:pPr>
              <w:jc w:val="center"/>
              <w:rPr>
                <w:rFonts w:hint="eastAsia" w:ascii="宋体" w:hAnsi="宋体" w:cs="Courier New"/>
                <w:kern w:val="0"/>
                <w:sz w:val="24"/>
                <w:szCs w:val="24"/>
              </w:rPr>
            </w:pPr>
            <w:r>
              <w:rPr>
                <w:rFonts w:hint="eastAsia" w:ascii="宋体" w:hAnsi="宋体" w:cs="Courier New"/>
                <w:kern w:val="0"/>
                <w:sz w:val="24"/>
                <w:szCs w:val="24"/>
              </w:rPr>
              <w:t>现场服务</w:t>
            </w:r>
          </w:p>
        </w:tc>
        <w:tc>
          <w:tcPr>
            <w:tcW w:w="4849" w:type="dxa"/>
            <w:vAlign w:val="center"/>
          </w:tcPr>
          <w:p w14:paraId="2FE80243">
            <w:pPr>
              <w:jc w:val="left"/>
              <w:rPr>
                <w:rFonts w:hint="eastAsia" w:ascii="宋体" w:hAnsi="宋体" w:cs="Courier New"/>
                <w:kern w:val="0"/>
                <w:sz w:val="24"/>
                <w:szCs w:val="24"/>
              </w:rPr>
            </w:pPr>
            <w:r>
              <w:rPr>
                <w:rFonts w:hint="eastAsia" w:ascii="宋体" w:hAnsi="宋体" w:cs="Courier New"/>
                <w:kern w:val="0"/>
                <w:sz w:val="24"/>
                <w:szCs w:val="24"/>
              </w:rPr>
              <w:t>工程师每周需要至少提供一次对数据中心、馆内信息化设备、虚拟化终端及各弱电间进行巡检、故障报修服务。</w:t>
            </w:r>
          </w:p>
        </w:tc>
        <w:tc>
          <w:tcPr>
            <w:tcW w:w="992" w:type="dxa"/>
            <w:vAlign w:val="center"/>
          </w:tcPr>
          <w:p w14:paraId="72AB9CE7">
            <w:pPr>
              <w:jc w:val="center"/>
              <w:rPr>
                <w:rFonts w:hint="eastAsia" w:ascii="宋体" w:hAnsi="宋体" w:cs="Courier New"/>
                <w:kern w:val="0"/>
                <w:sz w:val="24"/>
                <w:szCs w:val="24"/>
              </w:rPr>
            </w:pPr>
            <w:r>
              <w:rPr>
                <w:rFonts w:hint="eastAsia" w:ascii="宋体" w:hAnsi="宋体" w:cs="Courier New"/>
                <w:kern w:val="0"/>
                <w:sz w:val="24"/>
                <w:szCs w:val="24"/>
              </w:rPr>
              <w:t>1批</w:t>
            </w:r>
          </w:p>
        </w:tc>
      </w:tr>
      <w:tr w14:paraId="76F6C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8222" w:type="dxa"/>
            <w:gridSpan w:val="4"/>
            <w:shd w:val="clear" w:color="auto" w:fill="B4C6E7"/>
            <w:vAlign w:val="center"/>
          </w:tcPr>
          <w:p w14:paraId="2A00ACED">
            <w:pPr>
              <w:jc w:val="center"/>
              <w:rPr>
                <w:rFonts w:hint="eastAsia" w:ascii="宋体" w:hAnsi="宋体" w:cs="Courier New"/>
                <w:kern w:val="0"/>
                <w:sz w:val="24"/>
                <w:szCs w:val="24"/>
              </w:rPr>
            </w:pPr>
            <w:r>
              <w:rPr>
                <w:rFonts w:hint="eastAsia" w:ascii="宋体" w:hAnsi="宋体" w:cs="宋体"/>
                <w:kern w:val="0"/>
                <w:sz w:val="24"/>
                <w:szCs w:val="24"/>
              </w:rPr>
              <w:t>租赁设备清单</w:t>
            </w:r>
          </w:p>
        </w:tc>
      </w:tr>
      <w:tr w14:paraId="37ED2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709" w:type="dxa"/>
            <w:vAlign w:val="center"/>
          </w:tcPr>
          <w:p w14:paraId="756D10DE">
            <w:pPr>
              <w:jc w:val="center"/>
              <w:rPr>
                <w:rFonts w:hint="eastAsia" w:ascii="宋体" w:hAnsi="宋体" w:cs="Courier New"/>
                <w:kern w:val="0"/>
                <w:sz w:val="24"/>
                <w:szCs w:val="24"/>
              </w:rPr>
            </w:pPr>
            <w:r>
              <w:rPr>
                <w:rFonts w:hint="eastAsia" w:ascii="宋体" w:hAnsi="宋体" w:cs="Courier New"/>
                <w:kern w:val="0"/>
                <w:sz w:val="24"/>
                <w:szCs w:val="24"/>
              </w:rPr>
              <w:t>1</w:t>
            </w:r>
          </w:p>
        </w:tc>
        <w:tc>
          <w:tcPr>
            <w:tcW w:w="1672" w:type="dxa"/>
            <w:vAlign w:val="center"/>
          </w:tcPr>
          <w:p w14:paraId="742D0C75">
            <w:pPr>
              <w:jc w:val="center"/>
              <w:rPr>
                <w:rFonts w:hint="eastAsia" w:ascii="宋体" w:hAnsi="宋体" w:cs="Courier New"/>
                <w:kern w:val="0"/>
                <w:sz w:val="24"/>
                <w:szCs w:val="24"/>
              </w:rPr>
            </w:pPr>
            <w:r>
              <w:rPr>
                <w:rFonts w:hint="eastAsia" w:ascii="宋体" w:hAnsi="宋体" w:cs="Courier New"/>
                <w:kern w:val="0"/>
                <w:sz w:val="24"/>
                <w:szCs w:val="24"/>
              </w:rPr>
              <w:t>上网行为管理</w:t>
            </w:r>
          </w:p>
        </w:tc>
        <w:tc>
          <w:tcPr>
            <w:tcW w:w="4849" w:type="dxa"/>
            <w:vAlign w:val="center"/>
          </w:tcPr>
          <w:p w14:paraId="7F43CF6C">
            <w:pPr>
              <w:widowControl/>
              <w:rPr>
                <w:rFonts w:hint="eastAsia" w:ascii="宋体" w:hAnsi="宋体" w:cs="Courier New"/>
                <w:kern w:val="0"/>
                <w:sz w:val="24"/>
                <w:szCs w:val="24"/>
              </w:rPr>
            </w:pPr>
            <w:r>
              <w:rPr>
                <w:rFonts w:hint="eastAsia" w:ascii="宋体" w:hAnsi="宋体" w:cs="Courier New"/>
                <w:kern w:val="0"/>
                <w:sz w:val="24"/>
                <w:szCs w:val="24"/>
              </w:rPr>
              <w:t>详见租赁设备产品技术参数相关要求</w:t>
            </w:r>
          </w:p>
        </w:tc>
        <w:tc>
          <w:tcPr>
            <w:tcW w:w="992" w:type="dxa"/>
            <w:vAlign w:val="center"/>
          </w:tcPr>
          <w:p w14:paraId="67796A3A">
            <w:pPr>
              <w:jc w:val="center"/>
              <w:rPr>
                <w:rFonts w:hint="eastAsia" w:ascii="宋体" w:hAnsi="宋体" w:cs="Courier New"/>
                <w:kern w:val="0"/>
                <w:sz w:val="24"/>
                <w:szCs w:val="24"/>
              </w:rPr>
            </w:pPr>
            <w:r>
              <w:rPr>
                <w:rFonts w:hint="eastAsia" w:ascii="宋体" w:hAnsi="宋体" w:cs="Courier New"/>
                <w:kern w:val="0"/>
                <w:sz w:val="24"/>
                <w:szCs w:val="24"/>
              </w:rPr>
              <w:t>1台</w:t>
            </w:r>
          </w:p>
        </w:tc>
      </w:tr>
      <w:tr w14:paraId="13ACF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709" w:type="dxa"/>
            <w:vAlign w:val="center"/>
          </w:tcPr>
          <w:p w14:paraId="1FFD6B50">
            <w:pPr>
              <w:jc w:val="center"/>
              <w:rPr>
                <w:rFonts w:hint="eastAsia" w:ascii="宋体" w:hAnsi="宋体" w:cs="Courier New"/>
                <w:kern w:val="0"/>
                <w:sz w:val="24"/>
                <w:szCs w:val="24"/>
              </w:rPr>
            </w:pPr>
            <w:r>
              <w:rPr>
                <w:rFonts w:hint="eastAsia" w:ascii="宋体" w:hAnsi="宋体" w:cs="Courier New"/>
                <w:kern w:val="0"/>
                <w:sz w:val="24"/>
                <w:szCs w:val="24"/>
              </w:rPr>
              <w:t>2</w:t>
            </w:r>
          </w:p>
        </w:tc>
        <w:tc>
          <w:tcPr>
            <w:tcW w:w="1672" w:type="dxa"/>
            <w:vAlign w:val="center"/>
          </w:tcPr>
          <w:p w14:paraId="580AA6C4">
            <w:pPr>
              <w:jc w:val="center"/>
              <w:rPr>
                <w:rFonts w:hint="eastAsia" w:ascii="宋体" w:hAnsi="宋体" w:cs="Courier New"/>
                <w:kern w:val="0"/>
                <w:sz w:val="24"/>
                <w:szCs w:val="24"/>
              </w:rPr>
            </w:pPr>
            <w:r>
              <w:rPr>
                <w:rFonts w:hint="eastAsia" w:ascii="宋体" w:hAnsi="宋体" w:cs="Courier New"/>
                <w:kern w:val="0"/>
                <w:sz w:val="24"/>
                <w:szCs w:val="24"/>
              </w:rPr>
              <w:t>零信任综合网关</w:t>
            </w:r>
          </w:p>
        </w:tc>
        <w:tc>
          <w:tcPr>
            <w:tcW w:w="4849" w:type="dxa"/>
            <w:vAlign w:val="center"/>
          </w:tcPr>
          <w:p w14:paraId="2BAC8AB7">
            <w:pPr>
              <w:rPr>
                <w:rFonts w:hint="eastAsia" w:ascii="宋体" w:hAnsi="宋体" w:cs="Courier New"/>
                <w:kern w:val="0"/>
                <w:sz w:val="24"/>
                <w:szCs w:val="24"/>
              </w:rPr>
            </w:pPr>
            <w:r>
              <w:rPr>
                <w:rFonts w:hint="eastAsia" w:ascii="宋体" w:hAnsi="宋体" w:cs="Courier New"/>
                <w:kern w:val="0"/>
                <w:sz w:val="24"/>
                <w:szCs w:val="24"/>
              </w:rPr>
              <w:t>详见租赁设备产品技术参数相关要求</w:t>
            </w:r>
          </w:p>
        </w:tc>
        <w:tc>
          <w:tcPr>
            <w:tcW w:w="992" w:type="dxa"/>
            <w:vAlign w:val="center"/>
          </w:tcPr>
          <w:p w14:paraId="15525C55">
            <w:pPr>
              <w:jc w:val="center"/>
              <w:rPr>
                <w:rFonts w:hint="eastAsia" w:ascii="宋体" w:hAnsi="宋体" w:cs="Courier New"/>
                <w:kern w:val="0"/>
                <w:sz w:val="24"/>
                <w:szCs w:val="24"/>
              </w:rPr>
            </w:pPr>
            <w:r>
              <w:rPr>
                <w:rFonts w:hint="eastAsia" w:ascii="宋体" w:hAnsi="宋体" w:cs="Courier New"/>
                <w:kern w:val="0"/>
                <w:sz w:val="24"/>
                <w:szCs w:val="24"/>
              </w:rPr>
              <w:t>1台</w:t>
            </w:r>
          </w:p>
        </w:tc>
      </w:tr>
      <w:tr w14:paraId="5343B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709" w:type="dxa"/>
            <w:vAlign w:val="center"/>
          </w:tcPr>
          <w:p w14:paraId="6DB8D0C0">
            <w:pPr>
              <w:jc w:val="center"/>
              <w:rPr>
                <w:rFonts w:hint="eastAsia" w:ascii="宋体" w:hAnsi="宋体" w:cs="Courier New"/>
                <w:kern w:val="0"/>
                <w:sz w:val="24"/>
                <w:szCs w:val="24"/>
              </w:rPr>
            </w:pPr>
            <w:r>
              <w:rPr>
                <w:rFonts w:hint="eastAsia" w:ascii="宋体" w:hAnsi="宋体" w:cs="Courier New"/>
                <w:kern w:val="0"/>
                <w:sz w:val="24"/>
                <w:szCs w:val="24"/>
              </w:rPr>
              <w:t>3</w:t>
            </w:r>
          </w:p>
        </w:tc>
        <w:tc>
          <w:tcPr>
            <w:tcW w:w="1672" w:type="dxa"/>
            <w:vAlign w:val="center"/>
          </w:tcPr>
          <w:p w14:paraId="662D34C2">
            <w:pPr>
              <w:jc w:val="center"/>
              <w:rPr>
                <w:rFonts w:hint="eastAsia" w:ascii="宋体" w:hAnsi="宋体" w:cs="Courier New"/>
                <w:kern w:val="0"/>
                <w:sz w:val="24"/>
                <w:szCs w:val="24"/>
              </w:rPr>
            </w:pPr>
            <w:r>
              <w:rPr>
                <w:rFonts w:hint="eastAsia" w:ascii="宋体" w:hAnsi="宋体" w:cs="Courier New"/>
                <w:kern w:val="0"/>
                <w:sz w:val="24"/>
                <w:szCs w:val="24"/>
              </w:rPr>
              <w:t>保垒机</w:t>
            </w:r>
          </w:p>
        </w:tc>
        <w:tc>
          <w:tcPr>
            <w:tcW w:w="4849" w:type="dxa"/>
            <w:vAlign w:val="center"/>
          </w:tcPr>
          <w:p w14:paraId="6F4DDC9A">
            <w:pPr>
              <w:rPr>
                <w:rFonts w:hint="eastAsia" w:ascii="宋体" w:hAnsi="宋体" w:cs="Courier New"/>
                <w:kern w:val="0"/>
                <w:sz w:val="24"/>
                <w:szCs w:val="24"/>
              </w:rPr>
            </w:pPr>
            <w:r>
              <w:rPr>
                <w:rFonts w:hint="eastAsia" w:ascii="宋体" w:hAnsi="宋体" w:cs="Courier New"/>
                <w:kern w:val="0"/>
                <w:sz w:val="24"/>
                <w:szCs w:val="24"/>
              </w:rPr>
              <w:t>详见租赁设备产品技术参数相关要求</w:t>
            </w:r>
          </w:p>
        </w:tc>
        <w:tc>
          <w:tcPr>
            <w:tcW w:w="992" w:type="dxa"/>
            <w:vAlign w:val="center"/>
          </w:tcPr>
          <w:p w14:paraId="1914EFE4">
            <w:pPr>
              <w:jc w:val="center"/>
              <w:rPr>
                <w:rFonts w:hint="eastAsia" w:ascii="宋体" w:hAnsi="宋体" w:cs="Courier New"/>
                <w:kern w:val="0"/>
                <w:sz w:val="24"/>
                <w:szCs w:val="24"/>
              </w:rPr>
            </w:pPr>
            <w:r>
              <w:rPr>
                <w:rFonts w:hint="eastAsia" w:ascii="宋体" w:hAnsi="宋体" w:cs="Courier New"/>
                <w:kern w:val="0"/>
                <w:sz w:val="24"/>
                <w:szCs w:val="24"/>
              </w:rPr>
              <w:t>1台</w:t>
            </w:r>
          </w:p>
        </w:tc>
      </w:tr>
      <w:bookmarkEnd w:id="54"/>
    </w:tbl>
    <w:p w14:paraId="691DB62D">
      <w:pPr>
        <w:spacing w:line="360" w:lineRule="auto"/>
        <w:ind w:firstLine="480" w:firstLineChars="200"/>
        <w:rPr>
          <w:rFonts w:hint="eastAsia" w:ascii="宋体" w:hAnsi="宋体" w:cs="宋体"/>
          <w:sz w:val="24"/>
          <w:szCs w:val="24"/>
        </w:rPr>
      </w:pPr>
      <w:r>
        <w:rPr>
          <w:rFonts w:hint="eastAsia" w:ascii="宋体" w:hAnsi="宋体" w:cs="宋体"/>
          <w:sz w:val="24"/>
          <w:szCs w:val="24"/>
          <w:lang w:val="zh-CN"/>
        </w:rPr>
        <w:t>备注</w:t>
      </w:r>
      <w:r>
        <w:rPr>
          <w:rFonts w:hint="eastAsia" w:ascii="宋体" w:hAnsi="宋体" w:cs="宋体"/>
          <w:sz w:val="24"/>
          <w:szCs w:val="24"/>
        </w:rPr>
        <w:t>：</w:t>
      </w:r>
    </w:p>
    <w:p w14:paraId="33E2C420">
      <w:pPr>
        <w:spacing w:line="360" w:lineRule="auto"/>
        <w:ind w:firstLine="480" w:firstLineChars="200"/>
        <w:rPr>
          <w:rFonts w:hint="eastAsia" w:ascii="宋体" w:hAnsi="宋体"/>
          <w:bCs/>
          <w:sz w:val="24"/>
          <w:szCs w:val="24"/>
        </w:rPr>
      </w:pPr>
      <w:r>
        <w:rPr>
          <w:rFonts w:hint="eastAsia" w:ascii="宋体" w:hAnsi="宋体"/>
          <w:bCs/>
          <w:sz w:val="24"/>
          <w:szCs w:val="24"/>
        </w:rPr>
        <w:t>1、成交</w:t>
      </w:r>
      <w:r>
        <w:rPr>
          <w:rFonts w:hint="eastAsia" w:ascii="宋体" w:hAnsi="宋体" w:cs="宋体"/>
          <w:kern w:val="0"/>
          <w:sz w:val="24"/>
          <w:szCs w:val="24"/>
        </w:rPr>
        <w:t>服务商</w:t>
      </w:r>
      <w:r>
        <w:rPr>
          <w:rFonts w:hint="eastAsia" w:ascii="宋体" w:hAnsi="宋体"/>
          <w:bCs/>
          <w:sz w:val="24"/>
          <w:szCs w:val="24"/>
        </w:rPr>
        <w:t>在成交后签订合同前需要提供：</w:t>
      </w:r>
    </w:p>
    <w:p w14:paraId="1D8AC90F">
      <w:pPr>
        <w:numPr>
          <w:ilvl w:val="0"/>
          <w:numId w:val="3"/>
        </w:numPr>
        <w:spacing w:line="360" w:lineRule="auto"/>
        <w:ind w:left="0" w:firstLine="480" w:firstLineChars="200"/>
        <w:rPr>
          <w:rFonts w:hint="eastAsia" w:ascii="宋体" w:hAnsi="宋体"/>
          <w:bCs/>
          <w:sz w:val="24"/>
          <w:szCs w:val="24"/>
        </w:rPr>
      </w:pPr>
      <w:r>
        <w:rPr>
          <w:rFonts w:hint="eastAsia" w:ascii="宋体" w:hAnsi="宋体"/>
          <w:bCs/>
          <w:sz w:val="24"/>
          <w:szCs w:val="24"/>
        </w:rPr>
        <w:t>DELL EMC授权的ASN(Authorized Service Network)、ASP（Authorized Service Provider）的服务提供商出具的针对本次项目中EMC存储和SAN交换机的一年质保函原件。</w:t>
      </w:r>
    </w:p>
    <w:p w14:paraId="704FF839">
      <w:pPr>
        <w:numPr>
          <w:ilvl w:val="0"/>
          <w:numId w:val="3"/>
        </w:numPr>
        <w:spacing w:line="360" w:lineRule="auto"/>
        <w:ind w:left="0" w:firstLine="480" w:firstLineChars="200"/>
        <w:rPr>
          <w:rFonts w:hint="eastAsia" w:ascii="宋体" w:hAnsi="宋体"/>
          <w:bCs/>
          <w:sz w:val="24"/>
          <w:szCs w:val="24"/>
        </w:rPr>
      </w:pPr>
      <w:r>
        <w:rPr>
          <w:rFonts w:hint="eastAsia" w:ascii="宋体" w:hAnsi="宋体"/>
          <w:bCs/>
          <w:sz w:val="24"/>
          <w:szCs w:val="24"/>
        </w:rPr>
        <w:t>日志审计设备原厂商针对本次项目出具的一年质保函原件。</w:t>
      </w:r>
    </w:p>
    <w:p w14:paraId="46F29041">
      <w:pPr>
        <w:numPr>
          <w:ilvl w:val="0"/>
          <w:numId w:val="3"/>
        </w:numPr>
        <w:spacing w:line="360" w:lineRule="auto"/>
        <w:ind w:left="0" w:firstLine="480" w:firstLineChars="200"/>
        <w:rPr>
          <w:rFonts w:hint="eastAsia" w:ascii="宋体" w:hAnsi="宋体"/>
          <w:bCs/>
          <w:sz w:val="24"/>
          <w:szCs w:val="24"/>
        </w:rPr>
      </w:pPr>
      <w:r>
        <w:rPr>
          <w:rFonts w:hint="eastAsia" w:ascii="宋体" w:hAnsi="宋体"/>
          <w:sz w:val="24"/>
          <w:szCs w:val="24"/>
          <w:lang w:val="ru-RU"/>
        </w:rPr>
        <w:t>所投租赁设备（</w:t>
      </w:r>
      <w:r>
        <w:rPr>
          <w:rFonts w:hint="eastAsia" w:ascii="宋体" w:hAnsi="宋体" w:cs="Courier New"/>
          <w:kern w:val="0"/>
          <w:sz w:val="24"/>
          <w:szCs w:val="24"/>
        </w:rPr>
        <w:t>上网行为管理</w:t>
      </w:r>
      <w:r>
        <w:rPr>
          <w:rFonts w:hint="eastAsia" w:ascii="宋体" w:hAnsi="宋体"/>
          <w:bCs/>
          <w:sz w:val="24"/>
          <w:szCs w:val="24"/>
        </w:rPr>
        <w:t>、</w:t>
      </w:r>
      <w:r>
        <w:rPr>
          <w:rFonts w:hint="eastAsia" w:ascii="宋体" w:hAnsi="宋体" w:cs="Courier New"/>
          <w:kern w:val="0"/>
          <w:sz w:val="24"/>
          <w:szCs w:val="24"/>
        </w:rPr>
        <w:t>零信任综合网关、保垒机</w:t>
      </w:r>
      <w:r>
        <w:rPr>
          <w:rFonts w:hint="eastAsia" w:ascii="宋体" w:hAnsi="宋体"/>
          <w:bCs/>
          <w:sz w:val="24"/>
          <w:szCs w:val="24"/>
        </w:rPr>
        <w:t>）</w:t>
      </w:r>
      <w:r>
        <w:rPr>
          <w:rFonts w:hint="eastAsia" w:ascii="宋体" w:hAnsi="宋体"/>
          <w:sz w:val="24"/>
          <w:szCs w:val="24"/>
          <w:lang w:val="ru-RU"/>
        </w:rPr>
        <w:t>技术偏离表扫描件，并在扫描件上加盖生产厂家鲜章。</w:t>
      </w:r>
    </w:p>
    <w:p w14:paraId="6294D6AB">
      <w:pPr>
        <w:widowControl/>
        <w:numPr>
          <w:ilvl w:val="0"/>
          <w:numId w:val="3"/>
        </w:numPr>
        <w:spacing w:line="360" w:lineRule="auto"/>
        <w:ind w:left="0" w:firstLine="480" w:firstLineChars="200"/>
        <w:rPr>
          <w:rFonts w:hint="eastAsia" w:ascii="宋体" w:hAnsi="宋体" w:cs="Courier New"/>
          <w:kern w:val="0"/>
          <w:sz w:val="24"/>
          <w:szCs w:val="24"/>
        </w:rPr>
      </w:pPr>
      <w:r>
        <w:rPr>
          <w:rFonts w:hint="eastAsia" w:ascii="宋体" w:hAnsi="宋体"/>
          <w:sz w:val="24"/>
          <w:szCs w:val="24"/>
          <w:lang w:val="ru-RU"/>
        </w:rPr>
        <w:t>所投租赁设备（</w:t>
      </w:r>
      <w:r>
        <w:rPr>
          <w:rFonts w:hint="eastAsia" w:ascii="宋体" w:hAnsi="宋体" w:cs="Courier New"/>
          <w:kern w:val="0"/>
          <w:sz w:val="24"/>
          <w:szCs w:val="24"/>
        </w:rPr>
        <w:t>上网行为管理</w:t>
      </w:r>
      <w:r>
        <w:rPr>
          <w:rFonts w:hint="eastAsia" w:ascii="宋体" w:hAnsi="宋体"/>
          <w:bCs/>
          <w:sz w:val="24"/>
          <w:szCs w:val="24"/>
        </w:rPr>
        <w:t>、</w:t>
      </w:r>
      <w:r>
        <w:rPr>
          <w:rFonts w:hint="eastAsia" w:ascii="宋体" w:hAnsi="宋体" w:cs="Courier New"/>
          <w:kern w:val="0"/>
          <w:sz w:val="24"/>
          <w:szCs w:val="24"/>
        </w:rPr>
        <w:t>零信任综合网关、保垒机</w:t>
      </w:r>
      <w:r>
        <w:rPr>
          <w:rFonts w:hint="eastAsia" w:ascii="宋体" w:hAnsi="宋体"/>
          <w:bCs/>
          <w:sz w:val="24"/>
          <w:szCs w:val="24"/>
        </w:rPr>
        <w:t>）</w:t>
      </w:r>
      <w:r>
        <w:rPr>
          <w:rFonts w:hint="eastAsia" w:ascii="宋体" w:hAnsi="宋体"/>
          <w:sz w:val="24"/>
          <w:szCs w:val="24"/>
          <w:lang w:val="ru-RU"/>
        </w:rPr>
        <w:t>产品技术参数、评分标准中所涉及的功能截图、相关证书、参数证明材料等扫描件并在扫描件上加盖生产厂家鲜章。</w:t>
      </w:r>
    </w:p>
    <w:p w14:paraId="02FC3BC9">
      <w:pPr>
        <w:widowControl/>
        <w:numPr>
          <w:ilvl w:val="0"/>
          <w:numId w:val="3"/>
        </w:numPr>
        <w:spacing w:line="360" w:lineRule="auto"/>
        <w:ind w:left="0" w:firstLine="480" w:firstLineChars="200"/>
        <w:rPr>
          <w:rFonts w:hint="eastAsia" w:ascii="宋体" w:hAnsi="宋体" w:cs="Courier New"/>
          <w:kern w:val="0"/>
          <w:sz w:val="24"/>
          <w:szCs w:val="24"/>
        </w:rPr>
      </w:pPr>
      <w:r>
        <w:rPr>
          <w:rFonts w:hint="eastAsia" w:ascii="宋体" w:hAnsi="宋体"/>
          <w:sz w:val="24"/>
          <w:szCs w:val="24"/>
          <w:lang w:val="ru-RU"/>
        </w:rPr>
        <w:t>所投租赁设备（</w:t>
      </w:r>
      <w:r>
        <w:rPr>
          <w:rFonts w:hint="eastAsia" w:ascii="宋体" w:hAnsi="宋体" w:cs="Courier New"/>
          <w:kern w:val="0"/>
          <w:sz w:val="24"/>
          <w:szCs w:val="24"/>
        </w:rPr>
        <w:t>上网行为管理</w:t>
      </w:r>
      <w:r>
        <w:rPr>
          <w:rFonts w:hint="eastAsia" w:ascii="宋体" w:hAnsi="宋体"/>
          <w:bCs/>
          <w:sz w:val="24"/>
          <w:szCs w:val="24"/>
        </w:rPr>
        <w:t>、</w:t>
      </w:r>
      <w:r>
        <w:rPr>
          <w:rFonts w:hint="eastAsia" w:ascii="宋体" w:hAnsi="宋体" w:cs="Courier New"/>
          <w:kern w:val="0"/>
          <w:sz w:val="24"/>
          <w:szCs w:val="24"/>
        </w:rPr>
        <w:t>零信任综合网关、保垒机</w:t>
      </w:r>
      <w:r>
        <w:rPr>
          <w:rFonts w:hint="eastAsia" w:ascii="宋体" w:hAnsi="宋体"/>
          <w:bCs/>
          <w:sz w:val="24"/>
          <w:szCs w:val="24"/>
        </w:rPr>
        <w:t>）</w:t>
      </w:r>
      <w:r>
        <w:rPr>
          <w:rFonts w:hint="eastAsia" w:ascii="宋体" w:hAnsi="宋体"/>
          <w:sz w:val="24"/>
          <w:szCs w:val="24"/>
          <w:lang w:val="ru-RU"/>
        </w:rPr>
        <w:t>生产厂家针对本项目的</w:t>
      </w:r>
      <w:r>
        <w:rPr>
          <w:rFonts w:hint="eastAsia" w:ascii="宋体" w:hAnsi="宋体"/>
          <w:b/>
          <w:bCs/>
          <w:sz w:val="24"/>
          <w:szCs w:val="24"/>
          <w:lang w:val="ru-RU"/>
        </w:rPr>
        <w:t>原厂质保函</w:t>
      </w:r>
      <w:r>
        <w:rPr>
          <w:rFonts w:hint="eastAsia" w:ascii="宋体" w:hAnsi="宋体"/>
          <w:sz w:val="24"/>
          <w:szCs w:val="24"/>
          <w:lang w:val="ru-RU"/>
        </w:rPr>
        <w:t>加盖生产厂家鲜章的原件。</w:t>
      </w:r>
    </w:p>
    <w:p w14:paraId="218E4372">
      <w:pPr>
        <w:pStyle w:val="126"/>
        <w:adjustRightInd w:val="0"/>
        <w:snapToGrid w:val="0"/>
        <w:spacing w:line="360" w:lineRule="auto"/>
        <w:ind w:firstLine="482"/>
        <w:jc w:val="left"/>
        <w:rPr>
          <w:rFonts w:hint="eastAsia" w:ascii="宋体" w:hAnsi="宋体"/>
          <w:b/>
          <w:lang w:val="ru-RU"/>
        </w:rPr>
      </w:pPr>
      <w:r>
        <w:rPr>
          <w:rFonts w:hint="eastAsia" w:ascii="宋体" w:hAnsi="宋体"/>
          <w:b/>
          <w:bCs/>
          <w:lang w:val="ru-RU"/>
        </w:rPr>
        <w:t>以上①②③</w:t>
      </w:r>
      <w:r>
        <w:rPr>
          <w:rFonts w:hint="eastAsia" w:ascii="宋体" w:hAnsi="宋体"/>
          <w:b/>
          <w:lang w:val="ru-RU"/>
        </w:rPr>
        <w:t>④⑤</w:t>
      </w:r>
      <w:r>
        <w:rPr>
          <w:rFonts w:hint="eastAsia" w:ascii="宋体" w:hAnsi="宋体"/>
          <w:b/>
          <w:bCs/>
          <w:lang w:val="ru-RU"/>
        </w:rPr>
        <w:t>所要求的提供的材料</w:t>
      </w:r>
      <w:r>
        <w:rPr>
          <w:rFonts w:hint="eastAsia" w:ascii="宋体" w:hAnsi="宋体"/>
          <w:b/>
          <w:bCs/>
        </w:rPr>
        <w:t>为签订合同的必须项，如不能在规定期限内提供的视作主动放弃成交处理</w:t>
      </w:r>
      <w:r>
        <w:rPr>
          <w:rFonts w:hint="eastAsia" w:ascii="宋体" w:hAnsi="宋体"/>
          <w:b/>
          <w:bCs/>
          <w:lang w:val="ru-RU"/>
        </w:rPr>
        <w:t>，不予签订合同并取消其成交资格</w:t>
      </w:r>
      <w:r>
        <w:rPr>
          <w:rFonts w:hint="eastAsia" w:ascii="宋体" w:hAnsi="宋体"/>
          <w:b/>
          <w:bCs/>
        </w:rPr>
        <w:t>。</w:t>
      </w:r>
    </w:p>
    <w:p w14:paraId="69BE3372">
      <w:pPr>
        <w:spacing w:line="360" w:lineRule="auto"/>
        <w:ind w:firstLine="480" w:firstLineChars="200"/>
        <w:rPr>
          <w:rFonts w:hint="eastAsia" w:ascii="宋体" w:hAnsi="宋体"/>
          <w:bCs/>
          <w:sz w:val="24"/>
          <w:szCs w:val="24"/>
        </w:rPr>
      </w:pPr>
      <w:r>
        <w:rPr>
          <w:rFonts w:ascii="宋体" w:hAnsi="宋体"/>
          <w:bCs/>
          <w:sz w:val="24"/>
          <w:szCs w:val="24"/>
        </w:rPr>
        <w:t>2</w:t>
      </w:r>
      <w:r>
        <w:rPr>
          <w:rFonts w:hint="eastAsia" w:ascii="宋体" w:hAnsi="宋体"/>
          <w:bCs/>
          <w:sz w:val="24"/>
          <w:szCs w:val="24"/>
        </w:rPr>
        <w:t>、采购</w:t>
      </w:r>
      <w:r>
        <w:rPr>
          <w:rFonts w:ascii="宋体" w:hAnsi="宋体"/>
          <w:bCs/>
          <w:sz w:val="24"/>
          <w:szCs w:val="24"/>
        </w:rPr>
        <w:t>项目交付或者实施的时间</w:t>
      </w:r>
      <w:r>
        <w:rPr>
          <w:rFonts w:hint="eastAsia" w:ascii="宋体" w:hAnsi="宋体"/>
          <w:bCs/>
          <w:sz w:val="24"/>
          <w:szCs w:val="24"/>
        </w:rPr>
        <w:t>：</w:t>
      </w:r>
    </w:p>
    <w:p w14:paraId="40C894C0">
      <w:pPr>
        <w:adjustRightInd w:val="0"/>
        <w:snapToGrid w:val="0"/>
        <w:spacing w:line="360" w:lineRule="auto"/>
        <w:ind w:firstLine="480" w:firstLineChars="200"/>
        <w:rPr>
          <w:rFonts w:hint="eastAsia" w:ascii="宋体" w:hAnsi="宋体"/>
          <w:bCs/>
          <w:sz w:val="24"/>
          <w:szCs w:val="24"/>
        </w:rPr>
      </w:pPr>
      <w:r>
        <w:rPr>
          <w:rFonts w:hint="eastAsia" w:ascii="宋体" w:hAnsi="宋体"/>
          <w:bCs/>
          <w:sz w:val="24"/>
          <w:szCs w:val="24"/>
        </w:rPr>
        <w:t>本项目</w:t>
      </w:r>
      <w:bookmarkStart w:id="55" w:name="_Hlk191283300"/>
      <w:r>
        <w:rPr>
          <w:rFonts w:hint="eastAsia" w:ascii="宋体" w:hAnsi="宋体"/>
          <w:bCs/>
          <w:sz w:val="24"/>
          <w:szCs w:val="24"/>
        </w:rPr>
        <w:t>涉及的租赁设备在合同签订之日起30个工作日内安装调试完成，</w:t>
      </w:r>
      <w:bookmarkEnd w:id="55"/>
      <w:r>
        <w:rPr>
          <w:rFonts w:hint="eastAsia" w:ascii="宋体" w:hAnsi="宋体"/>
          <w:bCs/>
          <w:sz w:val="24"/>
          <w:szCs w:val="24"/>
        </w:rPr>
        <w:t>维保服务</w:t>
      </w:r>
      <w:r>
        <w:rPr>
          <w:rFonts w:hint="eastAsia" w:ascii="宋体" w:hAnsi="宋体" w:cs="仿宋"/>
          <w:sz w:val="24"/>
          <w:szCs w:val="24"/>
          <w:shd w:val="clear" w:color="auto" w:fill="FFFFFF"/>
        </w:rPr>
        <w:t>自合同签订之日起一年。</w:t>
      </w:r>
    </w:p>
    <w:p w14:paraId="69FF58A6">
      <w:pPr>
        <w:spacing w:line="360" w:lineRule="auto"/>
        <w:ind w:firstLine="480" w:firstLineChars="200"/>
        <w:rPr>
          <w:rFonts w:hint="eastAsia" w:ascii="宋体" w:hAnsi="宋体"/>
          <w:bCs/>
          <w:sz w:val="24"/>
          <w:szCs w:val="24"/>
        </w:rPr>
      </w:pPr>
      <w:r>
        <w:rPr>
          <w:rFonts w:hint="eastAsia" w:ascii="宋体" w:hAnsi="宋体"/>
          <w:bCs/>
          <w:sz w:val="24"/>
          <w:szCs w:val="24"/>
        </w:rPr>
        <w:t>3、采购</w:t>
      </w:r>
      <w:r>
        <w:rPr>
          <w:rFonts w:ascii="宋体" w:hAnsi="宋体"/>
          <w:bCs/>
          <w:sz w:val="24"/>
          <w:szCs w:val="24"/>
        </w:rPr>
        <w:t>项目交付</w:t>
      </w:r>
      <w:r>
        <w:rPr>
          <w:rFonts w:hint="eastAsia" w:ascii="宋体" w:hAnsi="宋体"/>
          <w:bCs/>
          <w:sz w:val="24"/>
          <w:szCs w:val="24"/>
        </w:rPr>
        <w:t>或</w:t>
      </w:r>
      <w:r>
        <w:rPr>
          <w:rFonts w:ascii="宋体" w:hAnsi="宋体"/>
          <w:bCs/>
          <w:sz w:val="24"/>
          <w:szCs w:val="24"/>
        </w:rPr>
        <w:t>者实施的地点</w:t>
      </w:r>
      <w:r>
        <w:rPr>
          <w:rFonts w:hint="eastAsia" w:ascii="宋体" w:hAnsi="宋体"/>
          <w:bCs/>
          <w:sz w:val="24"/>
          <w:szCs w:val="24"/>
        </w:rPr>
        <w:t>：</w:t>
      </w:r>
    </w:p>
    <w:p w14:paraId="03F8BC6A">
      <w:pPr>
        <w:widowControl/>
        <w:spacing w:line="360" w:lineRule="auto"/>
        <w:ind w:firstLine="480" w:firstLineChars="200"/>
        <w:rPr>
          <w:rFonts w:hint="eastAsia" w:ascii="宋体" w:hAnsi="宋体"/>
          <w:bCs/>
          <w:sz w:val="24"/>
          <w:szCs w:val="24"/>
        </w:rPr>
      </w:pPr>
      <w:r>
        <w:rPr>
          <w:rFonts w:hint="eastAsia" w:ascii="宋体" w:hAnsi="宋体"/>
          <w:bCs/>
          <w:sz w:val="24"/>
          <w:szCs w:val="24"/>
        </w:rPr>
        <w:t>南通市图书馆指定地点。</w:t>
      </w:r>
    </w:p>
    <w:p w14:paraId="7860D564">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（五）采购标的需满足的服务标准、期限、效率等要求;</w:t>
      </w:r>
    </w:p>
    <w:p w14:paraId="35E767F2">
      <w:pPr>
        <w:adjustRightInd w:val="0"/>
        <w:snapToGrid w:val="0"/>
        <w:spacing w:line="360" w:lineRule="auto"/>
        <w:ind w:firstLine="480" w:firstLineChars="200"/>
        <w:jc w:val="left"/>
        <w:rPr>
          <w:rFonts w:hint="eastAsia" w:ascii="宋体" w:hAnsi="宋体" w:cs="仿宋"/>
          <w:sz w:val="24"/>
          <w:szCs w:val="24"/>
          <w:shd w:val="clear" w:color="auto" w:fill="FFFFFF"/>
        </w:rPr>
      </w:pPr>
      <w:r>
        <w:rPr>
          <w:rFonts w:hint="eastAsia" w:ascii="宋体" w:hAnsi="宋体" w:cs="仿宋"/>
          <w:sz w:val="24"/>
          <w:szCs w:val="24"/>
          <w:shd w:val="clear" w:color="auto" w:fill="FFFFFF"/>
        </w:rPr>
        <w:t>1、服务期限：本次项目服务期限自合同签订之日起一年。</w:t>
      </w:r>
      <w:bookmarkStart w:id="56" w:name="_Hlk191283342"/>
      <w:r>
        <w:rPr>
          <w:rFonts w:hint="eastAsia" w:ascii="宋体" w:hAnsi="宋体" w:cs="仿宋"/>
          <w:sz w:val="24"/>
          <w:szCs w:val="24"/>
          <w:shd w:val="clear" w:color="auto" w:fill="FFFFFF"/>
        </w:rPr>
        <w:t>本次项目有效期自首次合同签订之日起三年，每年合同期满后，如成交服务商服务质量得到采购单位认可，可按本次成交价续签下一年合同，续签次数不超过2次。</w:t>
      </w:r>
    </w:p>
    <w:bookmarkEnd w:id="56"/>
    <w:p w14:paraId="098B8A41">
      <w:pPr>
        <w:adjustRightInd w:val="0"/>
        <w:snapToGrid w:val="0"/>
        <w:spacing w:line="360" w:lineRule="auto"/>
        <w:ind w:firstLine="480" w:firstLineChars="200"/>
        <w:jc w:val="left"/>
        <w:rPr>
          <w:rFonts w:hint="eastAsia" w:ascii="宋体" w:hAnsi="宋体" w:cs="仿宋"/>
          <w:sz w:val="24"/>
          <w:szCs w:val="24"/>
          <w:shd w:val="clear" w:color="auto" w:fill="FFFFFF"/>
        </w:rPr>
      </w:pPr>
      <w:r>
        <w:rPr>
          <w:rFonts w:hint="eastAsia" w:ascii="宋体" w:hAnsi="宋体" w:cs="仿宋"/>
          <w:sz w:val="24"/>
          <w:szCs w:val="24"/>
          <w:shd w:val="clear" w:color="auto" w:fill="FFFFFF"/>
        </w:rPr>
        <w:t>2、</w:t>
      </w:r>
      <w:bookmarkStart w:id="57" w:name="_Hlk191283385"/>
      <w:r>
        <w:rPr>
          <w:rFonts w:hint="eastAsia" w:ascii="宋体" w:hAnsi="宋体" w:cs="仿宋"/>
          <w:sz w:val="24"/>
          <w:szCs w:val="24"/>
          <w:shd w:val="clear" w:color="auto" w:fill="FFFFFF"/>
        </w:rPr>
        <w:t>租赁设备质保期限：本项目涉及的租赁设备自设备验收合格之日起提供硬件一年质保服务、规则库一年升级服务。</w:t>
      </w:r>
    </w:p>
    <w:bookmarkEnd w:id="57"/>
    <w:p w14:paraId="4943A333">
      <w:pPr>
        <w:widowControl/>
        <w:spacing w:line="360" w:lineRule="auto"/>
        <w:ind w:firstLine="480" w:firstLineChars="200"/>
        <w:jc w:val="left"/>
        <w:rPr>
          <w:rFonts w:hint="eastAsia" w:ascii="宋体" w:hAnsi="宋体" w:cs="Courier New"/>
          <w:kern w:val="0"/>
          <w:sz w:val="24"/>
          <w:szCs w:val="24"/>
        </w:rPr>
      </w:pPr>
      <w:r>
        <w:rPr>
          <w:rFonts w:hint="eastAsia" w:ascii="宋体" w:hAnsi="宋体" w:cs="仿宋"/>
          <w:sz w:val="24"/>
          <w:szCs w:val="24"/>
          <w:shd w:val="clear" w:color="auto" w:fill="FFFFFF"/>
        </w:rPr>
        <w:t>3、交货要求：所有货品必须原包装进场，运送及安装到用户指定地点。</w:t>
      </w:r>
    </w:p>
    <w:p w14:paraId="42D8AF39">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（六）采购标的验收标准</w:t>
      </w:r>
    </w:p>
    <w:p w14:paraId="0DC6F36E">
      <w:pPr>
        <w:widowControl/>
        <w:adjustRightInd w:val="0"/>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1、</w:t>
      </w:r>
      <w:bookmarkStart w:id="58" w:name="_Hlk191283759"/>
      <w:r>
        <w:rPr>
          <w:rFonts w:hint="eastAsia" w:ascii="宋体" w:hAnsi="宋体" w:cs="宋体"/>
          <w:kern w:val="0"/>
          <w:sz w:val="24"/>
          <w:szCs w:val="24"/>
        </w:rPr>
        <w:t>采购单位按合同约定积极配合供应商履约，合同签订首年租赁设备安装调试完成并试运行二周后，组织相关专业技术人员对租赁设备及相关功能进行验收，并出具验收报告。</w:t>
      </w:r>
      <w:bookmarkEnd w:id="58"/>
    </w:p>
    <w:p w14:paraId="24756EA5">
      <w:pPr>
        <w:widowControl/>
        <w:adjustRightInd w:val="0"/>
        <w:snapToGrid w:val="0"/>
        <w:spacing w:line="360" w:lineRule="auto"/>
        <w:ind w:firstLine="480" w:firstLineChars="200"/>
        <w:rPr>
          <w:rFonts w:hint="eastAsia" w:ascii="宋体" w:hAnsi="宋体"/>
          <w:sz w:val="24"/>
          <w:szCs w:val="24"/>
        </w:rPr>
      </w:pPr>
      <w:r>
        <w:rPr>
          <w:rFonts w:hint="eastAsia" w:ascii="宋体" w:hAnsi="宋体" w:cs="宋体"/>
          <w:kern w:val="0"/>
          <w:sz w:val="24"/>
          <w:szCs w:val="24"/>
        </w:rPr>
        <w:t>2、</w:t>
      </w:r>
      <w:bookmarkStart w:id="59" w:name="_Hlk191283790"/>
      <w:r>
        <w:rPr>
          <w:rFonts w:hint="eastAsia" w:ascii="宋体" w:hAnsi="宋体" w:cs="宋体"/>
          <w:kern w:val="0"/>
          <w:sz w:val="24"/>
          <w:szCs w:val="24"/>
        </w:rPr>
        <w:t>服务期满后成交服务商提供一年维保服务的相关材料，采购单位按照成交服务商提供的维保服务材料以及合同中的相关服务条款对成交服务商一年维保服务进行验收，如成交服务商服务质量得到采购单位认可，可续签下一年合同。</w:t>
      </w:r>
    </w:p>
    <w:bookmarkEnd w:id="59"/>
    <w:p w14:paraId="482285CF">
      <w:pPr>
        <w:spacing w:line="360" w:lineRule="auto"/>
        <w:ind w:firstLine="200"/>
        <w:rPr>
          <w:rFonts w:hint="eastAsia" w:ascii="宋体" w:hAnsi="宋体"/>
          <w:b/>
          <w:bCs/>
          <w:sz w:val="24"/>
          <w:szCs w:val="24"/>
          <w:shd w:val="clear" w:color="auto" w:fill="FFFFFF"/>
        </w:rPr>
      </w:pPr>
      <w:r>
        <w:rPr>
          <w:rFonts w:hint="eastAsia" w:ascii="宋体" w:hAnsi="宋体"/>
          <w:b/>
          <w:bCs/>
          <w:sz w:val="24"/>
          <w:szCs w:val="24"/>
          <w:shd w:val="clear" w:color="auto" w:fill="FFFFFF"/>
        </w:rPr>
        <w:t>（七）采购标的其他技术、服务等要求</w:t>
      </w:r>
    </w:p>
    <w:p w14:paraId="6F74362E">
      <w:pPr>
        <w:widowControl/>
        <w:adjustRightInd w:val="0"/>
        <w:snapToGrid w:val="0"/>
        <w:spacing w:line="360" w:lineRule="auto"/>
        <w:ind w:firstLine="480" w:firstLineChars="200"/>
        <w:jc w:val="left"/>
        <w:rPr>
          <w:rFonts w:hint="eastAsia" w:ascii="宋体" w:hAnsi="宋体" w:cs="仿宋"/>
          <w:sz w:val="24"/>
          <w:szCs w:val="24"/>
        </w:rPr>
      </w:pPr>
      <w:r>
        <w:rPr>
          <w:rFonts w:hint="eastAsia" w:ascii="宋体" w:hAnsi="宋体" w:cs="仿宋"/>
          <w:sz w:val="24"/>
          <w:szCs w:val="24"/>
        </w:rPr>
        <w:t>1、成交服务商必须严格按照相关的中国数据保护法律、各级各部门有关规定和标准规范，保证所接触到的一切采购单位数据不泄露，更不得作为商业的目的而出售，如果违反则成交服务商必须承担相应的法律责任。</w:t>
      </w:r>
    </w:p>
    <w:p w14:paraId="584F76B3">
      <w:pPr>
        <w:widowControl/>
        <w:adjustRightInd w:val="0"/>
        <w:snapToGrid w:val="0"/>
        <w:spacing w:line="360" w:lineRule="auto"/>
        <w:ind w:firstLine="480" w:firstLineChars="200"/>
        <w:jc w:val="left"/>
        <w:rPr>
          <w:rFonts w:hint="eastAsia" w:ascii="宋体" w:hAnsi="宋体" w:cs="仿宋"/>
          <w:sz w:val="24"/>
          <w:szCs w:val="24"/>
        </w:rPr>
      </w:pPr>
      <w:r>
        <w:rPr>
          <w:rFonts w:hint="eastAsia" w:ascii="宋体" w:hAnsi="宋体" w:cs="仿宋"/>
          <w:sz w:val="24"/>
          <w:szCs w:val="24"/>
        </w:rPr>
        <w:t>2、</w:t>
      </w:r>
      <w:bookmarkStart w:id="60" w:name="_Hlk191284571"/>
      <w:r>
        <w:rPr>
          <w:rFonts w:hint="eastAsia" w:ascii="宋体" w:hAnsi="宋体" w:cs="仿宋"/>
          <w:sz w:val="24"/>
          <w:szCs w:val="24"/>
        </w:rPr>
        <w:t>成交服务商必须严格按照相关的中国数据保护法律、各级各部门有关规定和标准规范，做好本次项目中租赁设备的安装调试工作，如果产生任何不良后果，成交服务商必须承担相应的全部责任，负责完成全部善后工作。</w:t>
      </w:r>
      <w:bookmarkEnd w:id="60"/>
    </w:p>
    <w:p w14:paraId="7B8991C2">
      <w:pPr>
        <w:widowControl/>
        <w:adjustRightInd w:val="0"/>
        <w:snapToGrid w:val="0"/>
        <w:spacing w:line="360" w:lineRule="auto"/>
        <w:ind w:firstLine="480" w:firstLineChars="200"/>
        <w:jc w:val="left"/>
        <w:rPr>
          <w:rFonts w:hint="eastAsia" w:ascii="宋体" w:hAnsi="宋体" w:cs="仿宋"/>
          <w:sz w:val="24"/>
          <w:szCs w:val="24"/>
        </w:rPr>
      </w:pPr>
      <w:r>
        <w:rPr>
          <w:rFonts w:hint="eastAsia" w:ascii="宋体" w:hAnsi="宋体" w:cs="仿宋"/>
          <w:sz w:val="24"/>
          <w:szCs w:val="24"/>
        </w:rPr>
        <w:t>3、每发生一次成交服务商不能按照服务要求开展服务的情况，成交服务商必须按成交金额的1%赔偿损失费，采购单位将发出书面通知，并从待付款中扣除。</w:t>
      </w:r>
    </w:p>
    <w:p w14:paraId="67A9AC6C">
      <w:pPr>
        <w:widowControl/>
        <w:adjustRightInd w:val="0"/>
        <w:snapToGrid w:val="0"/>
        <w:spacing w:line="360" w:lineRule="auto"/>
        <w:ind w:firstLine="480" w:firstLineChars="200"/>
        <w:jc w:val="left"/>
        <w:rPr>
          <w:rFonts w:hint="eastAsia" w:ascii="宋体" w:hAnsi="宋体" w:cs="仿宋"/>
          <w:sz w:val="24"/>
          <w:szCs w:val="24"/>
        </w:rPr>
      </w:pPr>
      <w:r>
        <w:rPr>
          <w:rFonts w:hint="eastAsia" w:ascii="宋体" w:hAnsi="宋体" w:cs="仿宋"/>
          <w:sz w:val="24"/>
          <w:szCs w:val="24"/>
        </w:rPr>
        <w:t>4、本次项目需要分开进行明细报价，租赁设备按年进行报价。</w:t>
      </w:r>
    </w:p>
    <w:p w14:paraId="73488944">
      <w:pPr>
        <w:spacing w:line="360" w:lineRule="auto"/>
        <w:ind w:firstLine="482" w:firstLineChars="200"/>
        <w:rPr>
          <w:rFonts w:hint="eastAsia" w:ascii="宋体" w:hAnsi="宋体"/>
          <w:b/>
          <w:bCs/>
          <w:sz w:val="24"/>
          <w:szCs w:val="24"/>
          <w:shd w:val="clear" w:color="auto" w:fill="FFFFFF"/>
        </w:rPr>
      </w:pPr>
      <w:r>
        <w:rPr>
          <w:rFonts w:hint="eastAsia" w:ascii="宋体" w:hAnsi="宋体"/>
          <w:b/>
          <w:bCs/>
          <w:sz w:val="24"/>
          <w:szCs w:val="24"/>
          <w:shd w:val="clear" w:color="auto" w:fill="FFFFFF"/>
        </w:rPr>
        <w:t>（八）付款条件</w:t>
      </w:r>
    </w:p>
    <w:p w14:paraId="40C6F455">
      <w:pPr>
        <w:widowControl/>
        <w:spacing w:line="360" w:lineRule="auto"/>
        <w:ind w:firstLine="480" w:firstLineChars="200"/>
        <w:rPr>
          <w:rFonts w:hint="eastAsia" w:ascii="宋体" w:hAnsi="宋体" w:cs="仿宋"/>
          <w:sz w:val="24"/>
          <w:szCs w:val="24"/>
        </w:rPr>
      </w:pPr>
      <w:bookmarkStart w:id="61" w:name="OLE_LINK8"/>
      <w:r>
        <w:rPr>
          <w:rFonts w:hint="eastAsia" w:ascii="宋体" w:hAnsi="宋体" w:cs="仿宋"/>
          <w:sz w:val="24"/>
          <w:szCs w:val="24"/>
        </w:rPr>
        <w:t>1、合同签订：自成交（成交）通知书发出之日起30日内按时签约。</w:t>
      </w:r>
    </w:p>
    <w:p w14:paraId="2B9839D2">
      <w:pPr>
        <w:spacing w:line="360" w:lineRule="auto"/>
        <w:ind w:firstLine="480" w:firstLineChars="200"/>
        <w:rPr>
          <w:rFonts w:hint="eastAsia" w:ascii="宋体" w:hAnsi="宋体" w:cs="仿宋"/>
          <w:sz w:val="24"/>
          <w:szCs w:val="24"/>
        </w:rPr>
      </w:pPr>
      <w:r>
        <w:rPr>
          <w:rFonts w:hint="eastAsia" w:ascii="宋体" w:hAnsi="宋体" w:cs="仿宋"/>
          <w:sz w:val="24"/>
          <w:szCs w:val="24"/>
        </w:rPr>
        <w:t>2、付款方式：</w:t>
      </w:r>
    </w:p>
    <w:p w14:paraId="09EEF812">
      <w:pPr>
        <w:spacing w:line="360" w:lineRule="auto"/>
        <w:ind w:firstLine="480" w:firstLineChars="200"/>
        <w:rPr>
          <w:rFonts w:hint="eastAsia" w:ascii="宋体" w:hAnsi="宋体" w:cs="仿宋"/>
          <w:sz w:val="24"/>
          <w:szCs w:val="24"/>
        </w:rPr>
      </w:pPr>
      <w:r>
        <w:rPr>
          <w:rFonts w:hint="eastAsia" w:ascii="宋体" w:hAnsi="宋体" w:cs="仿宋"/>
          <w:sz w:val="24"/>
          <w:szCs w:val="24"/>
        </w:rPr>
        <w:t>（1）首年合同：</w:t>
      </w:r>
      <w:bookmarkStart w:id="62" w:name="_Hlk191284254"/>
      <w:r>
        <w:rPr>
          <w:rFonts w:hint="eastAsia" w:ascii="宋体" w:hAnsi="宋体" w:cs="仿宋"/>
          <w:sz w:val="24"/>
          <w:szCs w:val="24"/>
        </w:rPr>
        <w:t>在合同签订后七个工作日内支付至合同款的30%</w:t>
      </w:r>
      <w:bookmarkEnd w:id="62"/>
      <w:r>
        <w:rPr>
          <w:rFonts w:hint="eastAsia" w:ascii="宋体" w:hAnsi="宋体" w:cs="仿宋"/>
          <w:sz w:val="24"/>
          <w:szCs w:val="24"/>
        </w:rPr>
        <w:t>。</w:t>
      </w:r>
      <w:bookmarkStart w:id="63" w:name="_Hlk191284306"/>
      <w:r>
        <w:rPr>
          <w:rFonts w:hint="eastAsia" w:ascii="宋体" w:hAnsi="宋体" w:cs="仿宋"/>
          <w:sz w:val="24"/>
          <w:szCs w:val="24"/>
        </w:rPr>
        <w:t>项目中租赁设备供货安装完成，验收合格后支付至合同金额的70%</w:t>
      </w:r>
      <w:bookmarkEnd w:id="63"/>
      <w:r>
        <w:rPr>
          <w:rFonts w:hint="eastAsia" w:ascii="宋体" w:hAnsi="宋体" w:cs="仿宋"/>
          <w:sz w:val="24"/>
          <w:szCs w:val="24"/>
        </w:rPr>
        <w:t>；</w:t>
      </w:r>
      <w:bookmarkStart w:id="64" w:name="_Hlk191284335"/>
      <w:r>
        <w:rPr>
          <w:rFonts w:hint="eastAsia" w:ascii="宋体" w:hAnsi="宋体" w:cs="仿宋"/>
          <w:sz w:val="24"/>
          <w:szCs w:val="24"/>
        </w:rPr>
        <w:t>余款30%在维保期年度的12月20日前支付完成</w:t>
      </w:r>
      <w:bookmarkEnd w:id="64"/>
      <w:r>
        <w:rPr>
          <w:rFonts w:hint="eastAsia" w:ascii="宋体" w:hAnsi="宋体" w:cs="仿宋"/>
          <w:sz w:val="24"/>
          <w:szCs w:val="24"/>
        </w:rPr>
        <w:t>。</w:t>
      </w:r>
      <w:bookmarkEnd w:id="61"/>
    </w:p>
    <w:p w14:paraId="2FAF88A8">
      <w:pPr>
        <w:spacing w:line="360" w:lineRule="auto"/>
        <w:ind w:firstLine="480" w:firstLineChars="200"/>
        <w:rPr>
          <w:rFonts w:hint="eastAsia" w:ascii="宋体" w:hAnsi="宋体" w:cs="仿宋"/>
          <w:sz w:val="24"/>
          <w:szCs w:val="24"/>
        </w:rPr>
      </w:pPr>
      <w:r>
        <w:rPr>
          <w:rFonts w:hint="eastAsia" w:ascii="宋体" w:hAnsi="宋体" w:cs="仿宋"/>
          <w:sz w:val="24"/>
          <w:szCs w:val="24"/>
        </w:rPr>
        <w:t>（2）续签合同：在合同签订后七个工作日内支付至合同金额的70%,余款30%在维保期年度的12月20日前支付完成。</w:t>
      </w:r>
    </w:p>
    <w:p w14:paraId="7C1A5EC2">
      <w:pPr>
        <w:snapToGrid w:val="0"/>
        <w:spacing w:line="480" w:lineRule="exact"/>
        <w:jc w:val="center"/>
        <w:outlineLvl w:val="1"/>
        <w:rPr>
          <w:rFonts w:hint="eastAsia" w:ascii="宋体" w:hAnsi="宋体" w:cs="宋体"/>
          <w:b/>
          <w:iCs/>
          <w:w w:val="80"/>
          <w:sz w:val="44"/>
          <w:szCs w:val="44"/>
        </w:rPr>
      </w:pPr>
    </w:p>
    <w:p w14:paraId="1AB22E7E">
      <w:pPr>
        <w:snapToGrid w:val="0"/>
        <w:spacing w:line="480" w:lineRule="exact"/>
        <w:jc w:val="center"/>
        <w:outlineLvl w:val="1"/>
        <w:rPr>
          <w:rFonts w:hint="eastAsia" w:ascii="宋体" w:hAnsi="宋体" w:cs="宋体"/>
          <w:b/>
          <w:iCs/>
          <w:w w:val="80"/>
          <w:sz w:val="44"/>
          <w:szCs w:val="44"/>
        </w:rPr>
      </w:pPr>
    </w:p>
    <w:p w14:paraId="40AE4E8C">
      <w:pPr>
        <w:snapToGrid w:val="0"/>
        <w:spacing w:line="480" w:lineRule="exact"/>
        <w:jc w:val="center"/>
        <w:outlineLvl w:val="1"/>
        <w:rPr>
          <w:rFonts w:hint="eastAsia" w:ascii="宋体" w:hAnsi="宋体" w:cs="宋体"/>
          <w:b/>
          <w:iCs/>
          <w:w w:val="80"/>
          <w:sz w:val="44"/>
          <w:szCs w:val="44"/>
        </w:rPr>
      </w:pPr>
    </w:p>
    <w:p w14:paraId="7A08223A">
      <w:pPr>
        <w:snapToGrid w:val="0"/>
        <w:spacing w:line="480" w:lineRule="exact"/>
        <w:jc w:val="center"/>
        <w:outlineLvl w:val="1"/>
        <w:rPr>
          <w:rFonts w:hint="eastAsia" w:ascii="宋体" w:hAnsi="宋体" w:cs="宋体"/>
          <w:b/>
          <w:iCs/>
          <w:w w:val="80"/>
          <w:sz w:val="44"/>
          <w:szCs w:val="44"/>
        </w:rPr>
      </w:pPr>
    </w:p>
    <w:p w14:paraId="25161551">
      <w:pPr>
        <w:snapToGrid w:val="0"/>
        <w:spacing w:line="480" w:lineRule="exact"/>
        <w:jc w:val="center"/>
        <w:outlineLvl w:val="1"/>
        <w:rPr>
          <w:rFonts w:hint="eastAsia" w:ascii="宋体" w:hAnsi="宋体" w:cs="宋体"/>
          <w:b/>
          <w:iCs/>
          <w:w w:val="80"/>
          <w:sz w:val="44"/>
          <w:szCs w:val="44"/>
        </w:rPr>
      </w:pPr>
    </w:p>
    <w:p w14:paraId="5B3C7CD8">
      <w:pPr>
        <w:snapToGrid w:val="0"/>
        <w:spacing w:line="480" w:lineRule="exact"/>
        <w:jc w:val="center"/>
        <w:outlineLvl w:val="1"/>
        <w:rPr>
          <w:rFonts w:hint="eastAsia" w:ascii="宋体" w:hAnsi="宋体" w:cs="宋体"/>
          <w:b/>
          <w:iCs/>
          <w:w w:val="80"/>
          <w:sz w:val="44"/>
          <w:szCs w:val="44"/>
        </w:rPr>
      </w:pPr>
    </w:p>
    <w:p w14:paraId="3A8E620E">
      <w:pPr>
        <w:snapToGrid w:val="0"/>
        <w:spacing w:line="480" w:lineRule="exact"/>
        <w:jc w:val="center"/>
        <w:outlineLvl w:val="1"/>
        <w:rPr>
          <w:rFonts w:hint="eastAsia" w:ascii="宋体" w:hAnsi="宋体" w:cs="宋体"/>
          <w:b/>
          <w:iCs/>
          <w:w w:val="80"/>
          <w:sz w:val="44"/>
          <w:szCs w:val="44"/>
        </w:rPr>
      </w:pPr>
    </w:p>
    <w:p w14:paraId="03548908">
      <w:pPr>
        <w:snapToGrid w:val="0"/>
        <w:spacing w:line="480" w:lineRule="exact"/>
        <w:jc w:val="center"/>
        <w:outlineLvl w:val="1"/>
        <w:rPr>
          <w:rFonts w:hint="eastAsia" w:ascii="宋体" w:hAnsi="宋体" w:cs="宋体"/>
          <w:b/>
          <w:iCs/>
          <w:w w:val="80"/>
          <w:sz w:val="44"/>
          <w:szCs w:val="44"/>
        </w:rPr>
      </w:pPr>
    </w:p>
    <w:p w14:paraId="5D19B87E">
      <w:pPr>
        <w:snapToGrid w:val="0"/>
        <w:spacing w:line="480" w:lineRule="exact"/>
        <w:jc w:val="center"/>
        <w:outlineLvl w:val="1"/>
        <w:rPr>
          <w:rFonts w:hint="eastAsia" w:ascii="宋体" w:hAnsi="宋体" w:cs="宋体"/>
          <w:b/>
          <w:iCs/>
          <w:w w:val="80"/>
          <w:sz w:val="44"/>
          <w:szCs w:val="44"/>
        </w:rPr>
      </w:pPr>
    </w:p>
    <w:p w14:paraId="3EC7A9A5">
      <w:pPr>
        <w:snapToGrid w:val="0"/>
        <w:spacing w:line="480" w:lineRule="exact"/>
        <w:jc w:val="center"/>
        <w:outlineLvl w:val="1"/>
        <w:rPr>
          <w:rFonts w:hint="eastAsia" w:ascii="宋体" w:hAnsi="宋体" w:cs="宋体"/>
          <w:b/>
          <w:iCs/>
          <w:w w:val="80"/>
          <w:sz w:val="44"/>
          <w:szCs w:val="44"/>
        </w:rPr>
      </w:pPr>
    </w:p>
    <w:p w14:paraId="0CC3F0B1">
      <w:pPr>
        <w:snapToGrid w:val="0"/>
        <w:spacing w:line="480" w:lineRule="exact"/>
        <w:jc w:val="center"/>
        <w:outlineLvl w:val="1"/>
        <w:rPr>
          <w:rFonts w:hint="eastAsia" w:ascii="宋体" w:hAnsi="宋体" w:cs="宋体"/>
          <w:b/>
          <w:iCs/>
          <w:w w:val="80"/>
          <w:sz w:val="44"/>
          <w:szCs w:val="44"/>
        </w:rPr>
      </w:pPr>
    </w:p>
    <w:p w14:paraId="53F5704B">
      <w:pPr>
        <w:snapToGrid w:val="0"/>
        <w:spacing w:line="480" w:lineRule="exact"/>
        <w:jc w:val="center"/>
        <w:outlineLvl w:val="1"/>
        <w:rPr>
          <w:rFonts w:hint="eastAsia" w:ascii="宋体" w:hAnsi="宋体" w:cs="宋体"/>
          <w:b/>
          <w:iCs/>
          <w:w w:val="80"/>
          <w:sz w:val="44"/>
          <w:szCs w:val="44"/>
        </w:rPr>
      </w:pPr>
    </w:p>
    <w:p w14:paraId="09E1DDB8">
      <w:pPr>
        <w:snapToGrid w:val="0"/>
        <w:spacing w:line="480" w:lineRule="exact"/>
        <w:jc w:val="center"/>
        <w:outlineLvl w:val="1"/>
        <w:rPr>
          <w:rFonts w:hint="eastAsia" w:ascii="宋体" w:hAnsi="宋体" w:cs="宋体"/>
          <w:b/>
          <w:iCs/>
          <w:w w:val="80"/>
          <w:sz w:val="44"/>
          <w:szCs w:val="44"/>
        </w:rPr>
      </w:pPr>
    </w:p>
    <w:p w14:paraId="3903819C">
      <w:pPr>
        <w:snapToGrid w:val="0"/>
        <w:spacing w:line="480" w:lineRule="exact"/>
        <w:jc w:val="center"/>
        <w:outlineLvl w:val="1"/>
        <w:rPr>
          <w:rFonts w:hint="eastAsia" w:ascii="宋体" w:hAnsi="宋体" w:cs="宋体"/>
          <w:b/>
          <w:iCs/>
          <w:w w:val="80"/>
          <w:sz w:val="44"/>
          <w:szCs w:val="44"/>
        </w:rPr>
      </w:pPr>
    </w:p>
    <w:p w14:paraId="56900620">
      <w:pPr>
        <w:snapToGrid w:val="0"/>
        <w:spacing w:line="480" w:lineRule="exact"/>
        <w:jc w:val="center"/>
        <w:outlineLvl w:val="1"/>
        <w:rPr>
          <w:rFonts w:hint="eastAsia" w:ascii="宋体" w:hAnsi="宋体" w:cs="宋体"/>
          <w:b/>
          <w:iCs/>
          <w:w w:val="80"/>
          <w:sz w:val="44"/>
          <w:szCs w:val="44"/>
        </w:rPr>
      </w:pPr>
    </w:p>
    <w:p w14:paraId="6E47EC43">
      <w:pPr>
        <w:snapToGrid w:val="0"/>
        <w:spacing w:line="480" w:lineRule="exact"/>
        <w:jc w:val="center"/>
        <w:outlineLvl w:val="1"/>
        <w:rPr>
          <w:rFonts w:hint="eastAsia" w:ascii="宋体" w:hAnsi="宋体" w:cs="宋体"/>
          <w:b/>
          <w:iCs/>
          <w:w w:val="80"/>
          <w:sz w:val="44"/>
          <w:szCs w:val="44"/>
        </w:rPr>
      </w:pPr>
    </w:p>
    <w:p w14:paraId="583FC318">
      <w:pPr>
        <w:snapToGrid w:val="0"/>
        <w:spacing w:line="480" w:lineRule="exact"/>
        <w:jc w:val="center"/>
        <w:outlineLvl w:val="1"/>
        <w:rPr>
          <w:rFonts w:hint="eastAsia" w:ascii="宋体" w:hAnsi="宋体" w:cs="宋体"/>
          <w:b/>
          <w:iCs/>
          <w:w w:val="80"/>
          <w:sz w:val="44"/>
          <w:szCs w:val="44"/>
        </w:rPr>
      </w:pPr>
    </w:p>
    <w:p w14:paraId="212C5A32">
      <w:pPr>
        <w:snapToGrid w:val="0"/>
        <w:spacing w:line="480" w:lineRule="exact"/>
        <w:jc w:val="center"/>
        <w:outlineLvl w:val="1"/>
        <w:rPr>
          <w:rFonts w:hint="eastAsia" w:ascii="宋体" w:hAnsi="宋体" w:cs="宋体"/>
          <w:b/>
          <w:iCs/>
          <w:w w:val="80"/>
          <w:sz w:val="44"/>
          <w:szCs w:val="44"/>
        </w:rPr>
      </w:pPr>
    </w:p>
    <w:p w14:paraId="3D8CE7E9">
      <w:pPr>
        <w:snapToGrid w:val="0"/>
        <w:spacing w:line="480" w:lineRule="exact"/>
        <w:jc w:val="center"/>
        <w:outlineLvl w:val="1"/>
        <w:rPr>
          <w:rFonts w:hint="eastAsia" w:ascii="宋体" w:hAnsi="宋体" w:cs="宋体"/>
          <w:b/>
          <w:iCs/>
          <w:w w:val="80"/>
          <w:sz w:val="44"/>
          <w:szCs w:val="44"/>
        </w:rPr>
      </w:pPr>
    </w:p>
    <w:p w14:paraId="61A9B4E0">
      <w:pPr>
        <w:snapToGrid w:val="0"/>
        <w:spacing w:line="480" w:lineRule="exact"/>
        <w:jc w:val="center"/>
        <w:outlineLvl w:val="1"/>
        <w:rPr>
          <w:rFonts w:hint="eastAsia" w:ascii="宋体" w:hAnsi="宋体" w:cs="宋体"/>
          <w:b/>
          <w:iCs/>
          <w:w w:val="80"/>
          <w:sz w:val="44"/>
          <w:szCs w:val="44"/>
        </w:rPr>
      </w:pPr>
    </w:p>
    <w:p w14:paraId="468CF068">
      <w:pPr>
        <w:snapToGrid w:val="0"/>
        <w:spacing w:line="480" w:lineRule="exact"/>
        <w:jc w:val="center"/>
        <w:outlineLvl w:val="1"/>
        <w:rPr>
          <w:rFonts w:hint="eastAsia" w:ascii="宋体" w:hAnsi="宋体" w:cs="宋体"/>
          <w:b/>
          <w:iCs/>
          <w:w w:val="80"/>
          <w:sz w:val="44"/>
          <w:szCs w:val="44"/>
        </w:rPr>
      </w:pPr>
    </w:p>
    <w:p w14:paraId="27EFA95D">
      <w:pPr>
        <w:snapToGrid w:val="0"/>
        <w:spacing w:line="480" w:lineRule="exact"/>
        <w:jc w:val="center"/>
        <w:outlineLvl w:val="1"/>
        <w:rPr>
          <w:rFonts w:ascii="宋体" w:cs="宋体"/>
          <w:kern w:val="0"/>
          <w:sz w:val="24"/>
          <w:szCs w:val="24"/>
        </w:rPr>
      </w:pPr>
      <w:r>
        <w:rPr>
          <w:rFonts w:hint="eastAsia" w:ascii="宋体" w:hAnsi="宋体" w:cs="宋体"/>
          <w:b/>
          <w:iCs/>
          <w:w w:val="80"/>
          <w:sz w:val="44"/>
          <w:szCs w:val="44"/>
        </w:rPr>
        <w:t>第四章</w:t>
      </w:r>
      <w:r>
        <w:rPr>
          <w:rFonts w:ascii="宋体" w:hAnsi="宋体" w:cs="宋体"/>
          <w:b/>
          <w:iCs/>
          <w:w w:val="80"/>
          <w:sz w:val="44"/>
          <w:szCs w:val="44"/>
        </w:rPr>
        <w:t xml:space="preserve"> </w:t>
      </w:r>
      <w:bookmarkEnd w:id="36"/>
      <w:bookmarkEnd w:id="37"/>
      <w:bookmarkEnd w:id="38"/>
      <w:bookmarkEnd w:id="39"/>
      <w:bookmarkEnd w:id="40"/>
      <w:bookmarkEnd w:id="41"/>
      <w:bookmarkEnd w:id="42"/>
      <w:bookmarkEnd w:id="43"/>
      <w:bookmarkEnd w:id="44"/>
      <w:bookmarkEnd w:id="45"/>
      <w:bookmarkEnd w:id="46"/>
      <w:bookmarkEnd w:id="47"/>
      <w:bookmarkStart w:id="65" w:name="_Toc182848996"/>
      <w:bookmarkStart w:id="66" w:name="_Toc37322565"/>
      <w:bookmarkStart w:id="67" w:name="_Toc43217893"/>
      <w:bookmarkStart w:id="68" w:name="_Toc85627670"/>
      <w:bookmarkStart w:id="69" w:name="_Toc38121794"/>
      <w:bookmarkStart w:id="70" w:name="_Toc8895742"/>
      <w:bookmarkStart w:id="71" w:name="_Toc94544873"/>
      <w:bookmarkStart w:id="72" w:name="_Toc11554642"/>
      <w:bookmarkStart w:id="73" w:name="_Toc11500283"/>
      <w:bookmarkStart w:id="74" w:name="_Toc94544747"/>
      <w:bookmarkStart w:id="75" w:name="_Toc11499587"/>
      <w:bookmarkStart w:id="76" w:name="_Toc12670506"/>
      <w:bookmarkStart w:id="77" w:name="_Toc13803484"/>
      <w:r>
        <w:rPr>
          <w:rFonts w:hint="eastAsia" w:ascii="宋体" w:hAnsi="宋体" w:cs="宋体"/>
          <w:b/>
          <w:iCs/>
          <w:w w:val="80"/>
          <w:sz w:val="44"/>
          <w:szCs w:val="44"/>
        </w:rPr>
        <w:t xml:space="preserve"> 磋商程序和内容</w:t>
      </w:r>
    </w:p>
    <w:bookmarkEnd w:id="65"/>
    <w:bookmarkEnd w:id="66"/>
    <w:bookmarkEnd w:id="67"/>
    <w:bookmarkEnd w:id="68"/>
    <w:bookmarkEnd w:id="69"/>
    <w:p w14:paraId="3041179F">
      <w:pPr>
        <w:snapToGrid w:val="0"/>
        <w:spacing w:line="480" w:lineRule="exact"/>
        <w:ind w:firstLine="482" w:firstLineChars="200"/>
        <w:outlineLvl w:val="1"/>
        <w:rPr>
          <w:rFonts w:hint="eastAsia" w:ascii="宋体" w:hAnsi="宋体" w:cs="宋体"/>
          <w:b/>
          <w:sz w:val="24"/>
          <w:szCs w:val="24"/>
        </w:rPr>
      </w:pPr>
      <w:bookmarkStart w:id="78" w:name="_Toc363573857"/>
      <w:bookmarkEnd w:id="78"/>
    </w:p>
    <w:p w14:paraId="4C340980">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一、代理机构组织磋商</w:t>
      </w:r>
    </w:p>
    <w:p w14:paraId="035D4C12">
      <w:pPr>
        <w:snapToGrid w:val="0"/>
        <w:spacing w:line="360" w:lineRule="auto"/>
        <w:ind w:firstLine="436" w:firstLineChars="182"/>
        <w:rPr>
          <w:rFonts w:hint="eastAsia" w:ascii="宋体" w:hAnsi="宋体" w:cs="宋体"/>
          <w:b/>
          <w:bCs/>
          <w:sz w:val="24"/>
          <w:szCs w:val="24"/>
        </w:rPr>
      </w:pPr>
      <w:r>
        <w:rPr>
          <w:rFonts w:ascii="宋体" w:hAnsi="宋体" w:cs="宋体"/>
          <w:sz w:val="24"/>
          <w:szCs w:val="24"/>
        </w:rPr>
        <w:t>1</w:t>
      </w:r>
      <w:r>
        <w:rPr>
          <w:rFonts w:hint="eastAsia" w:ascii="宋体" w:hAnsi="宋体" w:cs="宋体"/>
          <w:sz w:val="24"/>
          <w:szCs w:val="24"/>
        </w:rPr>
        <w:t>、本次竞争性磋商依据有关法规成立磋商小组。</w:t>
      </w:r>
      <w:r>
        <w:rPr>
          <w:rFonts w:hint="eastAsia" w:ascii="宋体" w:hAnsi="宋体" w:cs="宋体"/>
          <w:b/>
          <w:bCs/>
          <w:sz w:val="24"/>
          <w:szCs w:val="24"/>
        </w:rPr>
        <w:t>磋商小组由采购人代表和评审专家共</w:t>
      </w:r>
      <w:r>
        <w:rPr>
          <w:rFonts w:ascii="宋体" w:hAnsi="宋体" w:cs="宋体"/>
          <w:b/>
          <w:bCs/>
          <w:sz w:val="24"/>
          <w:szCs w:val="24"/>
        </w:rPr>
        <w:t>3</w:t>
      </w:r>
      <w:r>
        <w:rPr>
          <w:rFonts w:hint="eastAsia" w:ascii="宋体" w:hAnsi="宋体" w:cs="宋体"/>
          <w:b/>
          <w:bCs/>
          <w:sz w:val="24"/>
          <w:szCs w:val="24"/>
        </w:rPr>
        <w:t>人组成。</w:t>
      </w:r>
    </w:p>
    <w:p w14:paraId="2D3BF67A">
      <w:pPr>
        <w:snapToGrid w:val="0"/>
        <w:spacing w:line="360" w:lineRule="auto"/>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、采用竞争性磋商方式的采购项目，评审专家应当从采购评审专家库内相关专业的专家名单中随机抽取。情况特殊、通过随机方式难以确定合适的评审专家的，经主管预算单位同意，可以自行选定评审专家。</w:t>
      </w:r>
    </w:p>
    <w:p w14:paraId="706B790A">
      <w:pPr>
        <w:snapToGrid w:val="0"/>
        <w:spacing w:line="360" w:lineRule="auto"/>
        <w:ind w:firstLine="480" w:firstLineChars="200"/>
        <w:rPr>
          <w:rFonts w:ascii="宋体" w:cs="宋体"/>
          <w:sz w:val="24"/>
          <w:szCs w:val="24"/>
        </w:rPr>
      </w:pPr>
      <w:r>
        <w:rPr>
          <w:rFonts w:hint="eastAsia" w:ascii="宋体" w:hAnsi="宋体" w:cs="宋体"/>
          <w:sz w:val="24"/>
          <w:szCs w:val="24"/>
        </w:rPr>
        <w:t>3、磋商小组的职责：</w:t>
      </w:r>
    </w:p>
    <w:p w14:paraId="660F62DA">
      <w:pPr>
        <w:snapToGrid w:val="0"/>
        <w:spacing w:line="360" w:lineRule="auto"/>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）磋商小组成员应当按照客观、公正、审慎的原则，根据磋商文件规定的评审程序、评审方法和评审标准进行独立评审。</w:t>
      </w:r>
    </w:p>
    <w:p w14:paraId="77502686">
      <w:pPr>
        <w:snapToGrid w:val="0"/>
        <w:spacing w:line="360" w:lineRule="auto"/>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）磋商小组成员应当遵守评审工作纪律，不得泄露评审情况和评审中获悉的商业秘密，对个人的评审意见承担法律责任。</w:t>
      </w:r>
    </w:p>
    <w:p w14:paraId="58E2E102">
      <w:pPr>
        <w:snapToGrid w:val="0"/>
        <w:spacing w:line="360" w:lineRule="auto"/>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）磋商小组成员在评审过程中发现供应商有行贿、提供虚假材料或者串通等违法行为的，应当及时向财政部门报告</w:t>
      </w:r>
      <w:r>
        <w:rPr>
          <w:rFonts w:ascii="宋体" w:cs="宋体"/>
          <w:sz w:val="24"/>
          <w:szCs w:val="24"/>
        </w:rPr>
        <w:t>,</w:t>
      </w:r>
      <w:r>
        <w:rPr>
          <w:rFonts w:hint="eastAsia" w:ascii="宋体" w:hAnsi="宋体" w:cs="宋体"/>
          <w:sz w:val="24"/>
          <w:szCs w:val="24"/>
        </w:rPr>
        <w:t>并建议将其列入采购黑名单。</w:t>
      </w:r>
    </w:p>
    <w:p w14:paraId="12DEED29">
      <w:pPr>
        <w:snapToGrid w:val="0"/>
        <w:spacing w:line="360" w:lineRule="auto"/>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）磋商小组成员在评审过程中受到非法干涉的，应当及时向财政、监察等部门举报。</w:t>
      </w:r>
    </w:p>
    <w:p w14:paraId="0D3CF2CC">
      <w:pPr>
        <w:snapToGrid w:val="0"/>
        <w:spacing w:line="360" w:lineRule="auto"/>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）配合采购单位答复供应商提出的质疑；配合财政部门的投诉处理和监督检查工作。</w:t>
      </w:r>
    </w:p>
    <w:p w14:paraId="763B38B9">
      <w:pPr>
        <w:snapToGrid w:val="0"/>
        <w:spacing w:line="360" w:lineRule="auto"/>
        <w:ind w:firstLine="480" w:firstLineChars="200"/>
        <w:rPr>
          <w:rFonts w:ascii="宋体" w:cs="宋体"/>
          <w:sz w:val="24"/>
          <w:szCs w:val="24"/>
        </w:rPr>
      </w:pPr>
      <w:r>
        <w:rPr>
          <w:rFonts w:hint="eastAsia" w:ascii="宋体" w:hAnsi="宋体" w:cs="宋体"/>
          <w:sz w:val="24"/>
          <w:szCs w:val="24"/>
        </w:rPr>
        <w:t>4、评审有关记录由磋商小组成员签名，存档备查。</w:t>
      </w:r>
    </w:p>
    <w:p w14:paraId="58FC0F63">
      <w:pPr>
        <w:snapToGrid w:val="0"/>
        <w:spacing w:line="360" w:lineRule="auto"/>
        <w:ind w:firstLine="480" w:firstLineChars="200"/>
        <w:rPr>
          <w:rFonts w:ascii="宋体" w:cs="宋体"/>
          <w:sz w:val="24"/>
          <w:szCs w:val="24"/>
        </w:rPr>
      </w:pPr>
      <w:r>
        <w:rPr>
          <w:rFonts w:hint="eastAsia" w:ascii="宋体" w:hAnsi="宋体" w:cs="宋体"/>
          <w:sz w:val="24"/>
          <w:szCs w:val="24"/>
        </w:rPr>
        <w:t>5、供应商的法定代表人或被授权人须持身份证准时参加磋商开标会。</w:t>
      </w:r>
    </w:p>
    <w:p w14:paraId="58E71E4F">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二、磋商的原则及方法</w:t>
      </w:r>
    </w:p>
    <w:p w14:paraId="35829245">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、磋商小组依据采购的相关法规，遵循“公开、公平、公正、择优、信用”的原则进行磋商评审。</w:t>
      </w:r>
    </w:p>
    <w:p w14:paraId="6D32252C">
      <w:pPr>
        <w:snapToGrid w:val="0"/>
        <w:spacing w:line="360" w:lineRule="auto"/>
        <w:ind w:firstLine="484" w:firstLineChars="202"/>
        <w:rPr>
          <w:rFonts w:ascii="宋体" w:cs="宋体"/>
          <w:sz w:val="24"/>
          <w:szCs w:val="24"/>
        </w:rPr>
      </w:pPr>
      <w:r>
        <w:rPr>
          <w:rFonts w:ascii="宋体" w:hAnsi="宋体" w:cs="宋体"/>
          <w:sz w:val="24"/>
          <w:szCs w:val="24"/>
        </w:rPr>
        <w:t>2</w:t>
      </w:r>
      <w:r>
        <w:rPr>
          <w:rFonts w:hint="eastAsia" w:ascii="宋体" w:hAnsi="宋体" w:cs="宋体"/>
          <w:sz w:val="24"/>
          <w:szCs w:val="24"/>
        </w:rPr>
        <w:t>、磋商小组将按照竞争性磋商文件的规定，独立对每个进入打分程序的有效投标供应商的响应文件的商务技术部分以打分的形式进行评审和评价。商务技术分是所有评委打分的算术平均值（计算结果均四舍五入保留两位小数）。</w:t>
      </w:r>
      <w:r>
        <w:rPr>
          <w:rFonts w:ascii="宋体" w:hAnsi="宋体" w:cs="宋体"/>
          <w:sz w:val="24"/>
          <w:szCs w:val="24"/>
        </w:rPr>
        <w:t xml:space="preserve"> </w:t>
      </w:r>
    </w:p>
    <w:p w14:paraId="37C90D75">
      <w:pPr>
        <w:snapToGrid w:val="0"/>
        <w:spacing w:line="360" w:lineRule="auto"/>
        <w:ind w:firstLine="484" w:firstLineChars="202"/>
        <w:rPr>
          <w:rFonts w:ascii="宋体" w:cs="宋体"/>
          <w:sz w:val="24"/>
          <w:szCs w:val="24"/>
        </w:rPr>
      </w:pPr>
      <w:r>
        <w:rPr>
          <w:rFonts w:ascii="宋体" w:hAnsi="宋体" w:cs="宋体"/>
          <w:sz w:val="24"/>
          <w:szCs w:val="24"/>
        </w:rPr>
        <w:t>3</w:t>
      </w:r>
      <w:r>
        <w:rPr>
          <w:rFonts w:hint="eastAsia" w:ascii="宋体" w:hAnsi="宋体" w:cs="宋体"/>
          <w:sz w:val="24"/>
          <w:szCs w:val="24"/>
        </w:rPr>
        <w:t>、磋商小组根据磋商文件规定的程序、评定成交的标准等事项与实质性响应磋商文件要求的供应商进行磋商。未实质性响应磋商文件要求的响应文件按无效处理，磋商小组应当告知提交响应文件的供应商。</w:t>
      </w:r>
    </w:p>
    <w:p w14:paraId="371620BD">
      <w:pPr>
        <w:snapToGrid w:val="0"/>
        <w:spacing w:line="360" w:lineRule="auto"/>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、磋商小组所有成员应当集中与单一供应商分别进行磋商，并给予所有参加磋商的供应商平等的磋商机会。</w:t>
      </w:r>
    </w:p>
    <w:p w14:paraId="66F2C754">
      <w:pPr>
        <w:snapToGrid w:val="0"/>
        <w:spacing w:line="360" w:lineRule="auto"/>
        <w:ind w:firstLine="480" w:firstLineChars="200"/>
        <w:rPr>
          <w:rFonts w:ascii="宋体" w:cs="宋体"/>
          <w:sz w:val="24"/>
          <w:szCs w:val="24"/>
        </w:rPr>
      </w:pPr>
      <w:r>
        <w:rPr>
          <w:rFonts w:ascii="宋体" w:hAnsi="宋体" w:cs="宋体"/>
          <w:sz w:val="24"/>
          <w:szCs w:val="24"/>
        </w:rPr>
        <w:t>5</w:t>
      </w:r>
      <w:r>
        <w:rPr>
          <w:rFonts w:hint="eastAsia" w:ascii="宋体" w:hAnsi="宋体" w:cs="宋体"/>
          <w:sz w:val="24"/>
          <w:szCs w:val="24"/>
        </w:rPr>
        <w:t>、在磋商过程中，磋商小组可以根据磋商文件和磋商情况实质性变动采购需求中的商务技术、服务要求以及合同草案条款，但不得变动磋商文件中的其他内容。实质性变动的内容，须经采购单位代表确认。</w:t>
      </w:r>
    </w:p>
    <w:p w14:paraId="0AD5C519">
      <w:pPr>
        <w:snapToGrid w:val="0"/>
        <w:spacing w:line="360" w:lineRule="auto"/>
        <w:ind w:firstLine="480" w:firstLineChars="200"/>
        <w:rPr>
          <w:rFonts w:ascii="宋体" w:cs="宋体"/>
          <w:sz w:val="24"/>
          <w:szCs w:val="24"/>
        </w:rPr>
      </w:pPr>
      <w:r>
        <w:rPr>
          <w:rFonts w:ascii="宋体" w:hAnsi="宋体" w:cs="宋体"/>
          <w:sz w:val="24"/>
          <w:szCs w:val="24"/>
        </w:rPr>
        <w:t>6</w:t>
      </w:r>
      <w:r>
        <w:rPr>
          <w:rFonts w:hint="eastAsia" w:ascii="宋体" w:hAnsi="宋体" w:cs="宋体"/>
          <w:sz w:val="24"/>
          <w:szCs w:val="24"/>
        </w:rPr>
        <w:t>、对磋商文件作出的实质性变动是磋商文件的有效组成部分，磋商小组应当及时以书面形式同时通知所有参加磋商的供应商。</w:t>
      </w:r>
    </w:p>
    <w:p w14:paraId="45F712EB">
      <w:pPr>
        <w:snapToGrid w:val="0"/>
        <w:spacing w:line="360" w:lineRule="auto"/>
        <w:ind w:firstLine="480" w:firstLineChars="200"/>
        <w:rPr>
          <w:rFonts w:ascii="宋体" w:cs="宋体"/>
          <w:sz w:val="24"/>
          <w:szCs w:val="24"/>
        </w:rPr>
      </w:pPr>
      <w:r>
        <w:rPr>
          <w:rFonts w:ascii="宋体" w:hAnsi="宋体" w:cs="宋体"/>
          <w:sz w:val="24"/>
          <w:szCs w:val="24"/>
        </w:rPr>
        <w:t>7</w:t>
      </w:r>
      <w:r>
        <w:rPr>
          <w:rFonts w:hint="eastAsia" w:ascii="宋体" w:hAnsi="宋体" w:cs="宋体"/>
          <w:sz w:val="24"/>
          <w:szCs w:val="24"/>
        </w:rPr>
        <w:t>、供应商应当按照磋商文件的变动情况和磋商小组的要求重新提交响应文件，并由其法定代表人或被授权人签字或者加盖公章。由被授权人签字的，应当附法定代表人授权书。</w:t>
      </w:r>
    </w:p>
    <w:p w14:paraId="329D9C1C">
      <w:pPr>
        <w:snapToGrid w:val="0"/>
        <w:spacing w:line="360" w:lineRule="auto"/>
        <w:ind w:firstLine="480" w:firstLineChars="200"/>
        <w:rPr>
          <w:rFonts w:ascii="宋体" w:cs="宋体"/>
          <w:sz w:val="24"/>
          <w:szCs w:val="24"/>
        </w:rPr>
      </w:pPr>
      <w:r>
        <w:rPr>
          <w:rFonts w:ascii="宋体" w:hAnsi="宋体" w:cs="宋体"/>
          <w:sz w:val="24"/>
          <w:szCs w:val="24"/>
        </w:rPr>
        <w:t>8</w:t>
      </w:r>
      <w:r>
        <w:rPr>
          <w:rFonts w:hint="eastAsia" w:ascii="宋体" w:hAnsi="宋体" w:cs="宋体"/>
          <w:sz w:val="24"/>
          <w:szCs w:val="24"/>
        </w:rPr>
        <w:t>、经磋商确定最终采购需求和提交最终报价的供应商：磋商文件能够详细列明采购标的的商务技术、服务要求的，磋商结束后，磋商小组应当要求所有实质性响应的供应商在规定时间内提交最终报价。</w:t>
      </w:r>
    </w:p>
    <w:p w14:paraId="637AB6BC">
      <w:pPr>
        <w:snapToGrid w:val="0"/>
        <w:spacing w:line="360" w:lineRule="auto"/>
        <w:ind w:firstLine="480" w:firstLineChars="200"/>
        <w:rPr>
          <w:rFonts w:ascii="宋体" w:cs="宋体"/>
          <w:sz w:val="24"/>
          <w:szCs w:val="24"/>
        </w:rPr>
      </w:pPr>
      <w:r>
        <w:rPr>
          <w:rFonts w:hint="eastAsia" w:ascii="宋体" w:hAnsi="宋体" w:cs="宋体"/>
          <w:sz w:val="24"/>
          <w:szCs w:val="24"/>
        </w:rPr>
        <w:t>9、除非在磋商中磋商小组对采购单位需求内容作了调整增加，或对采购内容作了实质性变更，否则</w:t>
      </w:r>
      <w:r>
        <w:rPr>
          <w:rFonts w:hint="eastAsia" w:ascii="宋体" w:hAnsi="宋体" w:cs="宋体"/>
          <w:b/>
          <w:sz w:val="24"/>
          <w:szCs w:val="24"/>
        </w:rPr>
        <w:t>采购单位不接受供应商高于自己前一轮的磋商报价</w:t>
      </w:r>
      <w:r>
        <w:rPr>
          <w:rFonts w:hint="eastAsia" w:ascii="宋体" w:hAnsi="宋体" w:cs="宋体"/>
          <w:sz w:val="24"/>
          <w:szCs w:val="24"/>
        </w:rPr>
        <w:t>。</w:t>
      </w:r>
    </w:p>
    <w:p w14:paraId="75C13EF5">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0、对于在磋商顺利开始后至最终报价前，根据磋商情况退出磋商的供应商，须以书面形式说明退出磋商的原因，经磋商小组同意可以退出磋商。</w:t>
      </w:r>
    </w:p>
    <w:p w14:paraId="11993617">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1、在磋商中，磋商的任何一方不得透露与磋商有关的其他响应磋商的供应商的商务技术资料、价格及其他信息。</w:t>
      </w:r>
    </w:p>
    <w:p w14:paraId="3DBCD836">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2、凡两家或以上公司同一法人代表或其中一家公司为另一家公司单一最大股东的，不能同时参与同一采购项目相同标段的磋商采购活动，一经发现，将视同串标处理。</w:t>
      </w:r>
    </w:p>
    <w:p w14:paraId="10BF70E1">
      <w:pPr>
        <w:snapToGrid w:val="0"/>
        <w:spacing w:line="360" w:lineRule="auto"/>
        <w:ind w:firstLine="480" w:firstLineChars="200"/>
        <w:rPr>
          <w:rFonts w:hint="eastAsia" w:ascii="宋体" w:hAnsi="宋体" w:cs="宋体"/>
          <w:sz w:val="24"/>
          <w:szCs w:val="24"/>
        </w:rPr>
      </w:pPr>
      <w:r>
        <w:rPr>
          <w:rFonts w:ascii="宋体" w:hAnsi="宋体" w:cs="宋体"/>
          <w:sz w:val="24"/>
          <w:szCs w:val="24"/>
        </w:rPr>
        <w:t>1</w:t>
      </w:r>
      <w:r>
        <w:rPr>
          <w:rFonts w:hint="eastAsia" w:ascii="宋体" w:hAnsi="宋体" w:cs="宋体"/>
          <w:sz w:val="24"/>
          <w:szCs w:val="24"/>
        </w:rPr>
        <w:t>3、在磋商评审过程中，磋商小组发现供应商的报价明显低于其他供应商的报价，使得其报价可能低于其个别成本的，磋商小组有权要求该供应商作出书面说明并提供相关证明材料，供应商不能合理说明或者不能提供相关证明材料的，由磋商小组认定该供应商以低于成本报价磋商竞标。对被认定为低于成本报价磋商竞标的报价作无效报价，按无效响应处理。</w:t>
      </w:r>
    </w:p>
    <w:p w14:paraId="1B5A1260">
      <w:pPr>
        <w:snapToGrid w:val="0"/>
        <w:spacing w:line="360" w:lineRule="auto"/>
        <w:ind w:firstLine="482" w:firstLineChars="200"/>
        <w:rPr>
          <w:rFonts w:ascii="宋体"/>
          <w:b/>
          <w:bCs/>
          <w:sz w:val="24"/>
          <w:szCs w:val="24"/>
        </w:rPr>
      </w:pPr>
      <w:r>
        <w:rPr>
          <w:rFonts w:hint="eastAsia" w:ascii="宋体" w:hAnsi="宋体" w:cs="宋体"/>
          <w:b/>
          <w:bCs/>
          <w:sz w:val="24"/>
          <w:szCs w:val="24"/>
        </w:rPr>
        <w:t>三、评估步骤</w:t>
      </w:r>
    </w:p>
    <w:p w14:paraId="697FADE9">
      <w:pPr>
        <w:snapToGrid w:val="0"/>
        <w:spacing w:line="360" w:lineRule="auto"/>
        <w:ind w:firstLine="482" w:firstLineChars="200"/>
        <w:rPr>
          <w:rFonts w:ascii="宋体"/>
          <w:b/>
          <w:bCs/>
          <w:sz w:val="24"/>
          <w:szCs w:val="24"/>
          <w:lang w:val="zh-CN"/>
        </w:rPr>
      </w:pPr>
      <w:r>
        <w:rPr>
          <w:rFonts w:ascii="宋体" w:hAnsi="宋体" w:cs="宋体"/>
          <w:b/>
          <w:bCs/>
          <w:sz w:val="24"/>
          <w:szCs w:val="24"/>
          <w:lang w:val="zh-CN"/>
        </w:rPr>
        <w:t>1</w:t>
      </w:r>
      <w:r>
        <w:rPr>
          <w:rFonts w:hint="eastAsia" w:ascii="宋体" w:hAnsi="宋体" w:cs="宋体"/>
          <w:b/>
          <w:bCs/>
          <w:sz w:val="24"/>
          <w:szCs w:val="24"/>
          <w:lang w:val="zh-CN"/>
        </w:rPr>
        <w:t>、评估步骤规定：</w:t>
      </w:r>
    </w:p>
    <w:p w14:paraId="623FB6F5">
      <w:pPr>
        <w:snapToGrid w:val="0"/>
        <w:spacing w:line="360" w:lineRule="auto"/>
        <w:ind w:firstLine="482" w:firstLineChars="200"/>
        <w:rPr>
          <w:rFonts w:ascii="宋体"/>
          <w:b/>
          <w:bCs/>
          <w:sz w:val="24"/>
          <w:szCs w:val="24"/>
          <w:lang w:val="zh-CN"/>
        </w:rPr>
      </w:pPr>
      <w:r>
        <w:rPr>
          <w:rFonts w:hint="eastAsia" w:ascii="宋体" w:hAnsi="宋体" w:cs="宋体"/>
          <w:b/>
          <w:bCs/>
          <w:sz w:val="24"/>
          <w:szCs w:val="24"/>
          <w:lang w:val="zh-CN"/>
        </w:rPr>
        <w:t>本次资格审查采用资格后审，各供应商资格审查通过后方能进入商务技术标的开标。先开商务技术标，商务技术标打分结束后再开价格标。</w:t>
      </w:r>
    </w:p>
    <w:p w14:paraId="415AC3C0">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第一阶段：</w:t>
      </w:r>
      <w:r>
        <w:rPr>
          <w:rFonts w:hint="eastAsia" w:ascii="宋体" w:hAnsi="宋体" w:cs="宋体"/>
          <w:sz w:val="24"/>
          <w:szCs w:val="24"/>
        </w:rPr>
        <w:t>磋商小组</w:t>
      </w:r>
      <w:r>
        <w:rPr>
          <w:rFonts w:hint="eastAsia" w:ascii="宋体" w:hAnsi="宋体" w:cs="宋体"/>
          <w:sz w:val="24"/>
          <w:szCs w:val="24"/>
          <w:lang w:val="zh-CN"/>
        </w:rPr>
        <w:t>对每个供应商的资格进行审查。</w:t>
      </w:r>
    </w:p>
    <w:p w14:paraId="5214620F">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第二阶段：</w:t>
      </w:r>
      <w:r>
        <w:rPr>
          <w:rFonts w:hint="eastAsia" w:ascii="宋体" w:hAnsi="宋体" w:cs="宋体"/>
          <w:sz w:val="24"/>
          <w:szCs w:val="24"/>
        </w:rPr>
        <w:t>磋商小组</w:t>
      </w:r>
      <w:r>
        <w:rPr>
          <w:rFonts w:hint="eastAsia" w:ascii="宋体" w:hAnsi="宋体" w:cs="宋体"/>
          <w:sz w:val="24"/>
          <w:szCs w:val="24"/>
          <w:lang w:val="zh-CN"/>
        </w:rPr>
        <w:t>对每个符合资格要求的供应商的商务技术标进行</w:t>
      </w:r>
      <w:r>
        <w:rPr>
          <w:rFonts w:hint="eastAsia" w:ascii="宋体" w:hAnsi="宋体" w:cs="宋体"/>
          <w:sz w:val="24"/>
          <w:szCs w:val="24"/>
        </w:rPr>
        <w:t>评估</w:t>
      </w:r>
      <w:r>
        <w:rPr>
          <w:rFonts w:hint="eastAsia" w:ascii="宋体" w:hAnsi="宋体" w:cs="宋体"/>
          <w:sz w:val="24"/>
          <w:szCs w:val="24"/>
          <w:lang w:val="zh-CN"/>
        </w:rPr>
        <w:t>。主要审查商务技术标提交的内容是否齐全，商务技术方案及项目实施是否完全满足采购文件的要求。</w:t>
      </w:r>
      <w:r>
        <w:rPr>
          <w:rFonts w:hint="eastAsia" w:ascii="宋体" w:hAnsi="宋体" w:cs="宋体"/>
          <w:sz w:val="24"/>
          <w:szCs w:val="24"/>
        </w:rPr>
        <w:t>磋商小组严格按照磋商文件的要求、条件、评分标准，对供应商所提供货物或服务的先进性、可靠性、售后服务承诺、质量保证承诺等实质性响应内容进行比较。</w:t>
      </w:r>
    </w:p>
    <w:p w14:paraId="7302B3F6">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三阶段：以供应商价格标文件内的竞争性磋商报价（即首次报价）为基础，磋商小组与供应商单一分别进行磋商：内容主要是对竞争性磋商响应文件中的项目方案的澄清、修正、补充、确认以及价格调整等。磋商明确各供应商符合并满足磋商文件要求，并能完全响应磋商内容后，要求其最终报价中可包括但不限于如最终澄清方案、有关优惠承诺等。如磋商内容导致竞争性磋商文件有实质性变动的，磋商小组应当以书面形式通知所有供应商。</w:t>
      </w:r>
    </w:p>
    <w:p w14:paraId="49BECE64">
      <w:pPr>
        <w:snapToGrid w:val="0"/>
        <w:spacing w:line="360" w:lineRule="auto"/>
        <w:ind w:firstLine="480" w:firstLineChars="200"/>
        <w:rPr>
          <w:rFonts w:ascii="宋体"/>
          <w:sz w:val="24"/>
          <w:szCs w:val="24"/>
          <w:lang w:val="zh-CN"/>
        </w:rPr>
      </w:pPr>
      <w:r>
        <w:rPr>
          <w:rFonts w:hint="eastAsia" w:ascii="宋体" w:hAnsi="宋体" w:cs="宋体"/>
          <w:sz w:val="24"/>
          <w:szCs w:val="24"/>
          <w:lang w:val="zh-CN"/>
        </w:rPr>
        <w:t>第四阶段：磋商小组对供应商的最终报价进行评议和比较，在实质性响应竞争性磋商文件，商务技术标和价格标部分都能满足竞争性磋商文件的前提下，磋商小组将校核后的各供应商的报价从低到高排序（明显低于成本的，且供应商不能合理说明或者不能提供相关证明材料的报价除外）。</w:t>
      </w:r>
    </w:p>
    <w:p w14:paraId="3800AD11">
      <w:pPr>
        <w:snapToGrid w:val="0"/>
        <w:spacing w:line="360" w:lineRule="auto"/>
        <w:ind w:firstLine="480" w:firstLineChars="200"/>
        <w:rPr>
          <w:rFonts w:ascii="宋体" w:cs="宋体"/>
          <w:sz w:val="24"/>
          <w:szCs w:val="24"/>
        </w:rPr>
      </w:pPr>
      <w:r>
        <w:rPr>
          <w:rFonts w:ascii="宋体" w:hAnsi="宋体" w:cs="宋体"/>
          <w:sz w:val="24"/>
          <w:szCs w:val="24"/>
          <w:lang w:val="zh-CN"/>
        </w:rPr>
        <w:t>2</w:t>
      </w:r>
      <w:r>
        <w:rPr>
          <w:rFonts w:hint="eastAsia" w:ascii="宋体" w:hAnsi="宋体" w:cs="宋体"/>
          <w:sz w:val="24"/>
          <w:szCs w:val="24"/>
          <w:lang w:val="zh-CN"/>
        </w:rPr>
        <w:t>、在</w:t>
      </w:r>
      <w:r>
        <w:rPr>
          <w:rFonts w:hint="eastAsia" w:ascii="宋体" w:hAnsi="宋体" w:cs="宋体"/>
          <w:sz w:val="24"/>
          <w:szCs w:val="24"/>
        </w:rPr>
        <w:t>磋商</w:t>
      </w:r>
      <w:r>
        <w:rPr>
          <w:rFonts w:hint="eastAsia" w:ascii="宋体" w:hAnsi="宋体" w:cs="宋体"/>
          <w:sz w:val="24"/>
          <w:szCs w:val="24"/>
          <w:lang w:val="zh-CN"/>
        </w:rPr>
        <w:t>过程中，供应商提交的澄清文件和最终报价文件，由供应商法定代表人或被授权人签字盖章后生效，供应商受其约束。</w:t>
      </w:r>
    </w:p>
    <w:p w14:paraId="0CFC3DBF">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四、磋商评定结果的方法</w:t>
      </w:r>
    </w:p>
    <w:p w14:paraId="43D97053">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w:t>
      </w:r>
      <w:r>
        <w:rPr>
          <w:rFonts w:hint="eastAsia" w:ascii="宋体" w:hAnsi="宋体" w:cs="宋体"/>
          <w:b/>
          <w:sz w:val="24"/>
          <w:szCs w:val="24"/>
          <w:u w:val="single"/>
        </w:rPr>
        <w:t>经磋商确定最终采购需求和提交最终报价的供应商后，</w:t>
      </w:r>
      <w:r>
        <w:rPr>
          <w:rFonts w:hint="eastAsia" w:ascii="宋体" w:hAnsi="宋体" w:cs="宋体"/>
          <w:sz w:val="24"/>
          <w:szCs w:val="24"/>
        </w:rPr>
        <w:t>由磋商小组采用综合评分法</w:t>
      </w:r>
      <w:r>
        <w:rPr>
          <w:rFonts w:hint="eastAsia" w:ascii="宋体" w:hAnsi="宋体" w:cs="宋体"/>
          <w:b/>
          <w:sz w:val="24"/>
          <w:szCs w:val="24"/>
          <w:u w:val="single"/>
        </w:rPr>
        <w:t>对提交最终报价的供应商的响应文件和最终报价</w:t>
      </w:r>
      <w:r>
        <w:rPr>
          <w:rFonts w:hint="eastAsia" w:ascii="宋体" w:hAnsi="宋体" w:cs="宋体"/>
          <w:sz w:val="24"/>
          <w:szCs w:val="24"/>
        </w:rPr>
        <w:t>进行综合评分。</w:t>
      </w:r>
    </w:p>
    <w:p w14:paraId="07B6F2E0">
      <w:pPr>
        <w:snapToGrid w:val="0"/>
        <w:spacing w:line="360" w:lineRule="auto"/>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、评审时，磋商小组各成员应当独立对每个有效响应的文件进行评价、打分，然后汇总每个供应商每项评分因素的得分（计算结果均四舍五入保留两位小数）。</w:t>
      </w:r>
    </w:p>
    <w:p w14:paraId="1090433C">
      <w:pPr>
        <w:snapToGrid w:val="0"/>
        <w:spacing w:line="360" w:lineRule="auto"/>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、本次项目磋商的商务技术</w:t>
      </w:r>
      <w:r>
        <w:rPr>
          <w:rFonts w:hint="eastAsia" w:ascii="宋体" w:hAnsi="宋体" w:cs="宋体"/>
          <w:kern w:val="0"/>
          <w:sz w:val="24"/>
          <w:szCs w:val="24"/>
        </w:rPr>
        <w:t>响应文件</w:t>
      </w:r>
      <w:r>
        <w:rPr>
          <w:rFonts w:hint="eastAsia" w:ascii="宋体" w:hAnsi="宋体" w:cs="宋体"/>
          <w:sz w:val="24"/>
          <w:szCs w:val="24"/>
        </w:rPr>
        <w:t>和报价</w:t>
      </w:r>
      <w:r>
        <w:rPr>
          <w:rFonts w:hint="eastAsia" w:ascii="宋体" w:hAnsi="宋体" w:cs="宋体"/>
          <w:kern w:val="0"/>
          <w:sz w:val="24"/>
          <w:szCs w:val="24"/>
        </w:rPr>
        <w:t>响应文件</w:t>
      </w:r>
      <w:r>
        <w:rPr>
          <w:rFonts w:hint="eastAsia" w:ascii="宋体" w:hAnsi="宋体" w:cs="宋体"/>
          <w:sz w:val="24"/>
          <w:szCs w:val="24"/>
        </w:rPr>
        <w:t>评审总分值为</w:t>
      </w:r>
      <w:r>
        <w:rPr>
          <w:rFonts w:ascii="宋体" w:hAnsi="宋体" w:cs="宋体"/>
          <w:sz w:val="24"/>
          <w:szCs w:val="24"/>
        </w:rPr>
        <w:t>100</w:t>
      </w:r>
      <w:r>
        <w:rPr>
          <w:rFonts w:hint="eastAsia" w:ascii="宋体" w:hAnsi="宋体" w:cs="宋体"/>
          <w:sz w:val="24"/>
          <w:szCs w:val="24"/>
        </w:rPr>
        <w:t>分。两部分评审因素比重如下：</w:t>
      </w:r>
      <w:r>
        <w:rPr>
          <w:rFonts w:ascii="宋体" w:hAnsi="宋体" w:cs="宋体"/>
          <w:sz w:val="24"/>
          <w:szCs w:val="24"/>
        </w:rPr>
        <w:t xml:space="preserve"> </w:t>
      </w:r>
    </w:p>
    <w:p w14:paraId="09700FB2">
      <w:pPr>
        <w:snapToGrid w:val="0"/>
        <w:spacing w:line="360" w:lineRule="auto"/>
        <w:ind w:firstLine="480" w:firstLineChars="200"/>
        <w:rPr>
          <w:rFonts w:ascii="宋体" w:cs="宋体"/>
          <w:sz w:val="24"/>
          <w:szCs w:val="24"/>
        </w:rPr>
      </w:pPr>
      <w:r>
        <w:rPr>
          <w:rFonts w:hint="eastAsia" w:ascii="宋体" w:hAnsi="宋体" w:cs="宋体"/>
          <w:sz w:val="24"/>
          <w:szCs w:val="24"/>
        </w:rPr>
        <w:t>商务技术</w:t>
      </w:r>
      <w:r>
        <w:rPr>
          <w:rFonts w:hint="eastAsia" w:ascii="宋体" w:hAnsi="宋体" w:cs="宋体"/>
          <w:kern w:val="0"/>
          <w:sz w:val="24"/>
          <w:szCs w:val="24"/>
        </w:rPr>
        <w:t>响应文件</w:t>
      </w:r>
      <w:r>
        <w:rPr>
          <w:rFonts w:hint="eastAsia" w:ascii="宋体" w:hAnsi="宋体" w:cs="宋体"/>
          <w:sz w:val="24"/>
          <w:szCs w:val="24"/>
        </w:rPr>
        <w:t>分值占总分值的比重为</w:t>
      </w:r>
      <w:r>
        <w:rPr>
          <w:rFonts w:hint="eastAsia" w:ascii="宋体" w:hAnsi="宋体" w:cs="宋体"/>
          <w:sz w:val="24"/>
          <w:szCs w:val="24"/>
          <w:u w:val="single"/>
        </w:rPr>
        <w:t xml:space="preserve"> </w:t>
      </w:r>
      <w:r>
        <w:rPr>
          <w:rFonts w:hint="eastAsia" w:ascii="宋体" w:hAnsi="宋体" w:cs="宋体"/>
          <w:b/>
          <w:sz w:val="24"/>
          <w:szCs w:val="24"/>
          <w:u w:val="single"/>
        </w:rPr>
        <w:t>70</w:t>
      </w:r>
      <w:r>
        <w:rPr>
          <w:rFonts w:ascii="宋体" w:hAnsi="宋体" w:cs="宋体"/>
          <w:b/>
          <w:sz w:val="24"/>
          <w:szCs w:val="24"/>
          <w:u w:val="single"/>
        </w:rPr>
        <w:t>%</w:t>
      </w:r>
      <w:r>
        <w:rPr>
          <w:rFonts w:hint="eastAsia" w:ascii="宋体" w:hAnsi="宋体" w:cs="宋体"/>
          <w:b/>
          <w:sz w:val="24"/>
          <w:szCs w:val="24"/>
          <w:u w:val="single"/>
        </w:rPr>
        <w:t>（权重）</w:t>
      </w:r>
      <w:r>
        <w:rPr>
          <w:rFonts w:hint="eastAsia" w:ascii="宋体" w:hAnsi="宋体" w:cs="宋体"/>
          <w:sz w:val="24"/>
          <w:szCs w:val="24"/>
        </w:rPr>
        <w:t>（四舍五入保留两位小数）；</w:t>
      </w:r>
    </w:p>
    <w:p w14:paraId="2B16CA4D">
      <w:pPr>
        <w:snapToGrid w:val="0"/>
        <w:spacing w:line="360" w:lineRule="auto"/>
        <w:ind w:firstLine="480" w:firstLineChars="200"/>
        <w:rPr>
          <w:rFonts w:ascii="宋体" w:cs="宋体"/>
          <w:sz w:val="24"/>
          <w:szCs w:val="24"/>
        </w:rPr>
      </w:pPr>
      <w:r>
        <w:rPr>
          <w:rFonts w:hint="eastAsia" w:ascii="宋体" w:hAnsi="宋体" w:cs="宋体"/>
          <w:sz w:val="24"/>
          <w:szCs w:val="24"/>
        </w:rPr>
        <w:t>报价</w:t>
      </w:r>
      <w:r>
        <w:rPr>
          <w:rFonts w:hint="eastAsia" w:ascii="宋体" w:hAnsi="宋体" w:cs="宋体"/>
          <w:kern w:val="0"/>
          <w:sz w:val="24"/>
          <w:szCs w:val="24"/>
        </w:rPr>
        <w:t>响应文件</w:t>
      </w:r>
      <w:r>
        <w:rPr>
          <w:rFonts w:hint="eastAsia" w:ascii="宋体" w:hAnsi="宋体" w:cs="宋体"/>
          <w:sz w:val="24"/>
          <w:szCs w:val="24"/>
        </w:rPr>
        <w:t>分值占总分值的比重为</w:t>
      </w:r>
      <w:r>
        <w:rPr>
          <w:rFonts w:ascii="宋体" w:hAnsi="宋体" w:cs="宋体"/>
          <w:b/>
          <w:sz w:val="24"/>
          <w:szCs w:val="24"/>
          <w:u w:val="single"/>
        </w:rPr>
        <w:t xml:space="preserve"> </w:t>
      </w:r>
      <w:r>
        <w:rPr>
          <w:rFonts w:hint="eastAsia" w:ascii="宋体" w:hAnsi="宋体" w:cs="宋体"/>
          <w:b/>
          <w:sz w:val="24"/>
          <w:szCs w:val="24"/>
          <w:u w:val="single"/>
        </w:rPr>
        <w:t>30</w:t>
      </w:r>
      <w:r>
        <w:rPr>
          <w:rFonts w:ascii="宋体" w:hAnsi="宋体" w:cs="宋体"/>
          <w:b/>
          <w:sz w:val="24"/>
          <w:szCs w:val="24"/>
          <w:u w:val="single"/>
        </w:rPr>
        <w:t>%</w:t>
      </w:r>
      <w:r>
        <w:rPr>
          <w:rFonts w:hint="eastAsia" w:ascii="宋体" w:hAnsi="宋体" w:cs="宋体"/>
          <w:b/>
          <w:sz w:val="24"/>
          <w:szCs w:val="24"/>
          <w:u w:val="single"/>
        </w:rPr>
        <w:t>（权重）</w:t>
      </w:r>
      <w:r>
        <w:rPr>
          <w:rFonts w:ascii="宋体" w:hAnsi="宋体" w:cs="宋体"/>
          <w:b/>
          <w:sz w:val="24"/>
          <w:szCs w:val="24"/>
          <w:u w:val="single"/>
        </w:rPr>
        <w:t xml:space="preserve"> </w:t>
      </w:r>
      <w:r>
        <w:rPr>
          <w:rFonts w:hint="eastAsia" w:ascii="宋体" w:hAnsi="宋体" w:cs="宋体"/>
          <w:sz w:val="24"/>
          <w:szCs w:val="24"/>
        </w:rPr>
        <w:t>（四舍五入保留两位小数）。</w:t>
      </w:r>
    </w:p>
    <w:p w14:paraId="245BAD03">
      <w:pPr>
        <w:snapToGrid w:val="0"/>
        <w:spacing w:line="360" w:lineRule="auto"/>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、商务技术</w:t>
      </w:r>
      <w:r>
        <w:rPr>
          <w:rFonts w:hint="eastAsia" w:ascii="宋体" w:hAnsi="宋体" w:cs="宋体"/>
          <w:kern w:val="0"/>
          <w:sz w:val="24"/>
          <w:szCs w:val="24"/>
        </w:rPr>
        <w:t>响应文件分值为所有评委打分的算术平均值，计算</w:t>
      </w:r>
      <w:r>
        <w:rPr>
          <w:rFonts w:hint="eastAsia" w:ascii="宋体" w:hAnsi="宋体" w:cs="宋体"/>
          <w:sz w:val="24"/>
          <w:szCs w:val="24"/>
        </w:rPr>
        <w:t>结果均四舍五入保留两位小数。</w:t>
      </w:r>
      <w:r>
        <w:rPr>
          <w:rFonts w:ascii="宋体" w:hAnsi="宋体" w:cs="宋体"/>
          <w:sz w:val="24"/>
          <w:szCs w:val="24"/>
        </w:rPr>
        <w:t xml:space="preserve">  </w:t>
      </w:r>
    </w:p>
    <w:p w14:paraId="6C09190A">
      <w:pPr>
        <w:snapToGrid w:val="0"/>
        <w:spacing w:line="360" w:lineRule="auto"/>
        <w:ind w:firstLine="480" w:firstLineChars="200"/>
        <w:rPr>
          <w:rFonts w:ascii="宋体" w:cs="宋体"/>
          <w:sz w:val="24"/>
          <w:szCs w:val="24"/>
        </w:rPr>
      </w:pPr>
      <w:r>
        <w:rPr>
          <w:rFonts w:ascii="宋体" w:hAnsi="宋体" w:cs="宋体"/>
          <w:sz w:val="24"/>
          <w:szCs w:val="24"/>
        </w:rPr>
        <w:t>5</w:t>
      </w:r>
      <w:r>
        <w:rPr>
          <w:rFonts w:hint="eastAsia" w:ascii="宋体" w:hAnsi="宋体" w:cs="宋体"/>
          <w:sz w:val="24"/>
          <w:szCs w:val="24"/>
        </w:rPr>
        <w:t>、报价</w:t>
      </w:r>
      <w:r>
        <w:rPr>
          <w:rFonts w:hint="eastAsia" w:ascii="宋体" w:hAnsi="宋体" w:cs="宋体"/>
          <w:kern w:val="0"/>
          <w:sz w:val="24"/>
          <w:szCs w:val="24"/>
        </w:rPr>
        <w:t>响应文件</w:t>
      </w:r>
      <w:r>
        <w:rPr>
          <w:rFonts w:hint="eastAsia" w:ascii="宋体" w:hAnsi="宋体" w:cs="宋体"/>
          <w:sz w:val="24"/>
          <w:szCs w:val="24"/>
        </w:rPr>
        <w:t>分值统一采用低价优先法计算直接取得，与商务技术</w:t>
      </w:r>
      <w:r>
        <w:rPr>
          <w:rFonts w:hint="eastAsia" w:ascii="宋体" w:hAnsi="宋体" w:cs="宋体"/>
          <w:kern w:val="0"/>
          <w:sz w:val="24"/>
          <w:szCs w:val="24"/>
        </w:rPr>
        <w:t>响应文件</w:t>
      </w:r>
      <w:r>
        <w:rPr>
          <w:rFonts w:hint="eastAsia" w:ascii="宋体" w:hAnsi="宋体" w:cs="宋体"/>
          <w:sz w:val="24"/>
          <w:szCs w:val="24"/>
        </w:rPr>
        <w:t>分值相加为供应商的综合得分（四舍五入保留两位小数）。</w:t>
      </w:r>
    </w:p>
    <w:p w14:paraId="34128361">
      <w:pPr>
        <w:snapToGrid w:val="0"/>
        <w:spacing w:line="360" w:lineRule="auto"/>
        <w:ind w:firstLine="480" w:firstLineChars="200"/>
        <w:rPr>
          <w:rFonts w:ascii="宋体" w:cs="宋体"/>
          <w:sz w:val="24"/>
          <w:szCs w:val="24"/>
        </w:rPr>
      </w:pPr>
      <w:r>
        <w:rPr>
          <w:rFonts w:ascii="宋体" w:hAnsi="宋体" w:cs="宋体"/>
          <w:sz w:val="24"/>
          <w:szCs w:val="24"/>
        </w:rPr>
        <w:t>6</w:t>
      </w:r>
      <w:r>
        <w:rPr>
          <w:rFonts w:hint="eastAsia" w:ascii="宋体" w:hAnsi="宋体" w:cs="宋体"/>
          <w:sz w:val="24"/>
          <w:szCs w:val="24"/>
        </w:rPr>
        <w:t>、综合得分最高的供应商推荐为项目成交供应商并出具评审磋商报告。</w:t>
      </w:r>
    </w:p>
    <w:p w14:paraId="4546E5B2">
      <w:pPr>
        <w:snapToGrid w:val="0"/>
        <w:spacing w:line="360" w:lineRule="auto"/>
        <w:ind w:firstLine="480" w:firstLineChars="200"/>
        <w:outlineLvl w:val="1"/>
        <w:rPr>
          <w:rFonts w:ascii="宋体" w:cs="宋体"/>
          <w:sz w:val="24"/>
          <w:szCs w:val="24"/>
        </w:rPr>
      </w:pPr>
      <w:r>
        <w:rPr>
          <w:rFonts w:ascii="宋体" w:hAnsi="宋体" w:cs="宋体"/>
          <w:sz w:val="24"/>
          <w:szCs w:val="24"/>
        </w:rPr>
        <w:t>7</w:t>
      </w:r>
      <w:r>
        <w:rPr>
          <w:rFonts w:hint="eastAsia" w:ascii="宋体" w:hAnsi="宋体" w:cs="宋体"/>
          <w:sz w:val="24"/>
          <w:szCs w:val="24"/>
        </w:rPr>
        <w:t>、确定成交候选人的特殊情况处理：</w:t>
      </w:r>
    </w:p>
    <w:p w14:paraId="4BE6C61D">
      <w:pPr>
        <w:snapToGrid w:val="0"/>
        <w:spacing w:line="360" w:lineRule="auto"/>
        <w:ind w:firstLine="480" w:firstLineChars="200"/>
        <w:outlineLvl w:val="1"/>
        <w:rPr>
          <w:rFonts w:asci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）若总分相同，则按最终报价得分高者优先成交。</w:t>
      </w:r>
    </w:p>
    <w:p w14:paraId="6F4B2850">
      <w:pPr>
        <w:snapToGrid w:val="0"/>
        <w:spacing w:line="360" w:lineRule="auto"/>
        <w:ind w:firstLine="480" w:firstLineChars="200"/>
        <w:outlineLvl w:val="1"/>
        <w:rPr>
          <w:rFonts w:ascii="宋体" w:cs="宋体"/>
          <w:dstrike/>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）若总分且最终报价得分相同，则采取现场抽签的方式确定（由供应商按递交响应文件签到顺序号抽签确定）。</w:t>
      </w:r>
    </w:p>
    <w:p w14:paraId="315686D7">
      <w:pPr>
        <w:snapToGrid w:val="0"/>
        <w:spacing w:line="360" w:lineRule="auto"/>
        <w:ind w:firstLine="480" w:firstLineChars="200"/>
        <w:rPr>
          <w:rFonts w:ascii="宋体" w:cs="宋体"/>
          <w:sz w:val="24"/>
          <w:szCs w:val="24"/>
        </w:rPr>
      </w:pPr>
      <w:r>
        <w:rPr>
          <w:rFonts w:ascii="宋体" w:hAnsi="宋体" w:cs="宋体"/>
          <w:sz w:val="24"/>
          <w:szCs w:val="24"/>
        </w:rPr>
        <w:t>8</w:t>
      </w:r>
      <w:r>
        <w:rPr>
          <w:rFonts w:hint="eastAsia" w:ascii="宋体" w:hAnsi="宋体" w:cs="宋体"/>
          <w:sz w:val="24"/>
          <w:szCs w:val="24"/>
        </w:rPr>
        <w:t>、磋商评审时，评委对评审的细则若有争议，由磋商小组集体讨论确定，并对未尽情况有最终解释权。</w:t>
      </w:r>
    </w:p>
    <w:p w14:paraId="5F7FB0A8">
      <w:pPr>
        <w:snapToGrid w:val="0"/>
        <w:spacing w:line="360" w:lineRule="auto"/>
        <w:ind w:firstLine="480" w:firstLineChars="200"/>
        <w:rPr>
          <w:rFonts w:ascii="宋体" w:cs="宋体"/>
          <w:sz w:val="24"/>
          <w:szCs w:val="24"/>
        </w:rPr>
      </w:pPr>
      <w:r>
        <w:rPr>
          <w:rFonts w:ascii="宋体" w:hAnsi="宋体" w:cs="宋体"/>
          <w:sz w:val="24"/>
          <w:szCs w:val="24"/>
        </w:rPr>
        <w:t>9</w:t>
      </w:r>
      <w:r>
        <w:rPr>
          <w:rFonts w:hint="eastAsia" w:ascii="宋体" w:hAnsi="宋体" w:cs="宋体"/>
          <w:sz w:val="24"/>
          <w:szCs w:val="24"/>
        </w:rPr>
        <w:t>、对落标的供应商不做落标原因的解释。</w:t>
      </w:r>
    </w:p>
    <w:p w14:paraId="40A912F8">
      <w:pPr>
        <w:snapToGrid w:val="0"/>
        <w:spacing w:line="480" w:lineRule="exact"/>
        <w:ind w:firstLine="482" w:firstLineChars="200"/>
        <w:outlineLvl w:val="1"/>
        <w:rPr>
          <w:rFonts w:ascii="宋体"/>
          <w:b/>
          <w:bCs/>
          <w:sz w:val="24"/>
          <w:szCs w:val="24"/>
        </w:rPr>
      </w:pPr>
      <w:r>
        <w:rPr>
          <w:rFonts w:hint="eastAsia" w:ascii="宋体" w:hAnsi="宋体" w:cs="宋体"/>
          <w:b/>
          <w:bCs/>
          <w:sz w:val="24"/>
          <w:szCs w:val="24"/>
        </w:rPr>
        <w:t>五、关于投标价格评审</w:t>
      </w:r>
    </w:p>
    <w:p w14:paraId="31498A30">
      <w:pPr>
        <w:snapToGrid w:val="0"/>
        <w:spacing w:line="480" w:lineRule="exact"/>
        <w:ind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、针对投标价格实质响应的评审</w:t>
      </w:r>
    </w:p>
    <w:p w14:paraId="6D4721F6">
      <w:pPr>
        <w:snapToGrid w:val="0"/>
        <w:spacing w:line="480" w:lineRule="exact"/>
        <w:ind w:firstLine="480" w:firstLineChars="200"/>
        <w:rPr>
          <w:rFonts w:ascii="宋体"/>
          <w:sz w:val="24"/>
          <w:szCs w:val="24"/>
        </w:rPr>
      </w:pPr>
      <w:r>
        <w:rPr>
          <w:rFonts w:hint="eastAsia" w:ascii="宋体" w:hAnsi="宋体" w:cs="宋体"/>
          <w:sz w:val="24"/>
          <w:szCs w:val="24"/>
        </w:rPr>
        <w:t>评标委员会将审查每份磋商响应文件的商务报价是否实质上响应了采购文件的要求。实质上响应的投标应该是与采购文件要求的全部条款、条件和规格相符，没有重大偏离或保留。所谓重大偏离或保留是指实质上影响合同的供货范围、质量和性能，或者实质上与采购文件的要求不一致。纠正这些偏离或保留将会对其他实质上响应要求的投标人的竞争地位产生不公正的影响。如未实质上响应，则按无效投标处理。</w:t>
      </w:r>
    </w:p>
    <w:p w14:paraId="5CEEC1FE">
      <w:pPr>
        <w:snapToGrid w:val="0"/>
        <w:spacing w:line="480" w:lineRule="exact"/>
        <w:ind w:firstLine="480" w:firstLineChars="200"/>
        <w:rPr>
          <w:rFonts w:ascii="宋体"/>
          <w:sz w:val="24"/>
          <w:szCs w:val="24"/>
        </w:rPr>
      </w:pPr>
      <w:r>
        <w:rPr>
          <w:rFonts w:ascii="宋体" w:hAnsi="宋体" w:cs="宋体"/>
          <w:sz w:val="24"/>
          <w:szCs w:val="24"/>
        </w:rPr>
        <w:t>2</w:t>
      </w:r>
      <w:r>
        <w:rPr>
          <w:rFonts w:hint="eastAsia" w:ascii="宋体" w:hAnsi="宋体" w:cs="宋体"/>
          <w:sz w:val="24"/>
          <w:szCs w:val="24"/>
        </w:rPr>
        <w:t>、针对投标价格合理性的评审</w:t>
      </w:r>
    </w:p>
    <w:p w14:paraId="4E950F34">
      <w:pPr>
        <w:snapToGrid w:val="0"/>
        <w:spacing w:line="480" w:lineRule="exact"/>
        <w:ind w:firstLine="480" w:firstLineChars="200"/>
        <w:rPr>
          <w:rFonts w:ascii="宋体"/>
          <w:sz w:val="24"/>
          <w:szCs w:val="24"/>
        </w:rPr>
      </w:pPr>
      <w:r>
        <w:rPr>
          <w:rFonts w:hint="eastAsia" w:ascii="宋体" w:hAnsi="宋体" w:cs="宋体"/>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775273D">
      <w:pPr>
        <w:snapToGrid w:val="0"/>
        <w:spacing w:line="480" w:lineRule="exact"/>
        <w:ind w:firstLine="482" w:firstLineChars="200"/>
        <w:outlineLvl w:val="1"/>
        <w:rPr>
          <w:rFonts w:hint="eastAsia" w:ascii="宋体" w:hAnsi="宋体" w:cs="宋体"/>
          <w:b/>
          <w:sz w:val="24"/>
          <w:szCs w:val="24"/>
        </w:rPr>
      </w:pPr>
      <w:r>
        <w:rPr>
          <w:rFonts w:hint="eastAsia" w:ascii="宋体" w:hAnsi="宋体" w:cs="宋体"/>
          <w:b/>
          <w:sz w:val="24"/>
          <w:szCs w:val="24"/>
        </w:rPr>
        <w:t>六、综合评分评审标准</w:t>
      </w:r>
    </w:p>
    <w:p w14:paraId="746F37D5">
      <w:pPr>
        <w:adjustRightInd w:val="0"/>
        <w:snapToGrid w:val="0"/>
        <w:spacing w:line="500" w:lineRule="exact"/>
        <w:ind w:firstLine="482" w:firstLineChars="200"/>
        <w:rPr>
          <w:rFonts w:hint="eastAsia" w:ascii="宋体" w:hAnsi="宋体" w:cs="宋体"/>
          <w:b/>
          <w:sz w:val="24"/>
          <w:szCs w:val="24"/>
        </w:rPr>
      </w:pPr>
      <w:r>
        <w:rPr>
          <w:rFonts w:hint="eastAsia" w:ascii="宋体" w:hAnsi="宋体" w:cs="宋体"/>
          <w:b/>
          <w:sz w:val="24"/>
          <w:szCs w:val="24"/>
        </w:rPr>
        <w:t>（一）商务技术响应评分：（70分）</w:t>
      </w:r>
    </w:p>
    <w:p w14:paraId="69BDDD10">
      <w:pPr>
        <w:widowControl/>
        <w:jc w:val="left"/>
        <w:rPr>
          <w:rFonts w:hint="eastAsia" w:ascii="宋体" w:hAnsi="宋体" w:cs="宋体"/>
          <w:kern w:val="0"/>
          <w:sz w:val="24"/>
          <w:szCs w:val="24"/>
        </w:rPr>
      </w:pPr>
    </w:p>
    <w:tbl>
      <w:tblPr>
        <w:tblStyle w:val="57"/>
        <w:tblW w:w="513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419"/>
        <w:gridCol w:w="710"/>
        <w:gridCol w:w="5958"/>
      </w:tblGrid>
      <w:tr w14:paraId="42D54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385" w:type="pct"/>
            <w:shd w:val="clear" w:color="auto" w:fill="auto"/>
            <w:vAlign w:val="center"/>
          </w:tcPr>
          <w:p w14:paraId="33D6A43A">
            <w:pPr>
              <w:widowControl/>
              <w:jc w:val="center"/>
              <w:rPr>
                <w:rFonts w:hint="eastAsia" w:ascii="宋体" w:hAnsi="宋体" w:cs="宋体"/>
                <w:b/>
                <w:bCs/>
                <w:kern w:val="0"/>
                <w:sz w:val="24"/>
                <w:szCs w:val="24"/>
              </w:rPr>
            </w:pPr>
            <w:r>
              <w:rPr>
                <w:rFonts w:hint="eastAsia" w:ascii="宋体" w:hAnsi="宋体" w:cs="宋体"/>
                <w:b/>
                <w:bCs/>
                <w:kern w:val="0"/>
                <w:sz w:val="24"/>
                <w:szCs w:val="24"/>
              </w:rPr>
              <w:t>序号</w:t>
            </w:r>
          </w:p>
        </w:tc>
        <w:tc>
          <w:tcPr>
            <w:tcW w:w="810" w:type="pct"/>
            <w:shd w:val="clear" w:color="auto" w:fill="auto"/>
            <w:vAlign w:val="center"/>
          </w:tcPr>
          <w:p w14:paraId="4C6710BF">
            <w:pPr>
              <w:widowControl/>
              <w:jc w:val="center"/>
              <w:rPr>
                <w:rFonts w:hint="eastAsia" w:ascii="宋体" w:hAnsi="宋体" w:cs="宋体"/>
                <w:b/>
                <w:bCs/>
                <w:kern w:val="0"/>
                <w:sz w:val="24"/>
                <w:szCs w:val="24"/>
              </w:rPr>
            </w:pPr>
            <w:r>
              <w:rPr>
                <w:rFonts w:hint="eastAsia" w:ascii="宋体" w:hAnsi="宋体" w:cs="宋体"/>
                <w:b/>
                <w:bCs/>
                <w:kern w:val="0"/>
                <w:sz w:val="24"/>
                <w:szCs w:val="24"/>
              </w:rPr>
              <w:t>评分点</w:t>
            </w:r>
          </w:p>
          <w:p w14:paraId="28FA5AC3">
            <w:pPr>
              <w:widowControl/>
              <w:jc w:val="center"/>
              <w:rPr>
                <w:rFonts w:hint="eastAsia" w:ascii="宋体" w:hAnsi="宋体" w:cs="宋体"/>
                <w:b/>
                <w:bCs/>
                <w:kern w:val="0"/>
                <w:sz w:val="24"/>
                <w:szCs w:val="24"/>
              </w:rPr>
            </w:pPr>
            <w:r>
              <w:rPr>
                <w:rFonts w:hint="eastAsia" w:ascii="宋体" w:hAnsi="宋体" w:cs="宋体"/>
                <w:b/>
                <w:bCs/>
                <w:kern w:val="0"/>
                <w:sz w:val="24"/>
                <w:szCs w:val="24"/>
              </w:rPr>
              <w:t>名称</w:t>
            </w:r>
          </w:p>
        </w:tc>
        <w:tc>
          <w:tcPr>
            <w:tcW w:w="405" w:type="pct"/>
            <w:shd w:val="clear" w:color="auto" w:fill="auto"/>
            <w:vAlign w:val="center"/>
          </w:tcPr>
          <w:p w14:paraId="2778A97B">
            <w:pPr>
              <w:widowControl/>
              <w:jc w:val="center"/>
              <w:rPr>
                <w:rFonts w:hint="eastAsia" w:ascii="宋体" w:hAnsi="宋体" w:cs="宋体"/>
                <w:b/>
                <w:bCs/>
                <w:kern w:val="0"/>
                <w:sz w:val="24"/>
                <w:szCs w:val="24"/>
              </w:rPr>
            </w:pPr>
            <w:r>
              <w:rPr>
                <w:rFonts w:hint="eastAsia" w:ascii="宋体" w:hAnsi="宋体" w:cs="宋体"/>
                <w:b/>
                <w:bCs/>
                <w:kern w:val="0"/>
                <w:sz w:val="24"/>
                <w:szCs w:val="24"/>
              </w:rPr>
              <w:t>分值</w:t>
            </w:r>
          </w:p>
        </w:tc>
        <w:tc>
          <w:tcPr>
            <w:tcW w:w="3400" w:type="pct"/>
            <w:shd w:val="clear" w:color="auto" w:fill="auto"/>
            <w:vAlign w:val="center"/>
          </w:tcPr>
          <w:p w14:paraId="5B0AA7D4">
            <w:pPr>
              <w:widowControl/>
              <w:jc w:val="center"/>
              <w:rPr>
                <w:rFonts w:hint="eastAsia" w:ascii="宋体" w:hAnsi="宋体" w:cs="宋体"/>
                <w:b/>
                <w:bCs/>
                <w:kern w:val="0"/>
                <w:sz w:val="24"/>
                <w:szCs w:val="24"/>
              </w:rPr>
            </w:pPr>
            <w:r>
              <w:rPr>
                <w:rFonts w:hint="eastAsia" w:ascii="宋体" w:hAnsi="宋体" w:cs="宋体"/>
                <w:b/>
                <w:bCs/>
                <w:kern w:val="0"/>
                <w:sz w:val="24"/>
                <w:szCs w:val="24"/>
              </w:rPr>
              <w:t>评审标准</w:t>
            </w:r>
          </w:p>
        </w:tc>
      </w:tr>
      <w:tr w14:paraId="214FC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trPr>
        <w:tc>
          <w:tcPr>
            <w:tcW w:w="385" w:type="pct"/>
            <w:shd w:val="clear" w:color="auto" w:fill="auto"/>
            <w:vAlign w:val="center"/>
          </w:tcPr>
          <w:p w14:paraId="0B654966">
            <w:pPr>
              <w:widowControl/>
              <w:jc w:val="center"/>
              <w:rPr>
                <w:rFonts w:hint="eastAsia" w:ascii="宋体" w:hAnsi="宋体" w:cs="宋体"/>
                <w:kern w:val="0"/>
                <w:sz w:val="24"/>
                <w:szCs w:val="24"/>
              </w:rPr>
            </w:pPr>
            <w:r>
              <w:rPr>
                <w:rFonts w:hint="eastAsia" w:ascii="宋体" w:hAnsi="宋体" w:cs="宋体"/>
                <w:kern w:val="0"/>
                <w:sz w:val="24"/>
                <w:szCs w:val="24"/>
              </w:rPr>
              <w:t>1</w:t>
            </w:r>
          </w:p>
        </w:tc>
        <w:tc>
          <w:tcPr>
            <w:tcW w:w="810" w:type="pct"/>
            <w:shd w:val="clear" w:color="auto" w:fill="auto"/>
            <w:vAlign w:val="center"/>
          </w:tcPr>
          <w:p w14:paraId="47BD7FCF">
            <w:pPr>
              <w:widowControl/>
              <w:jc w:val="center"/>
              <w:rPr>
                <w:rFonts w:hint="eastAsia" w:ascii="宋体" w:hAnsi="宋体" w:cs="宋体"/>
                <w:kern w:val="0"/>
                <w:sz w:val="24"/>
                <w:szCs w:val="24"/>
              </w:rPr>
            </w:pPr>
            <w:r>
              <w:rPr>
                <w:rFonts w:hint="eastAsia" w:ascii="宋体" w:hAnsi="宋体" w:cs="宋体"/>
                <w:kern w:val="0"/>
                <w:sz w:val="24"/>
                <w:szCs w:val="24"/>
              </w:rPr>
              <w:t>指标要求</w:t>
            </w:r>
          </w:p>
        </w:tc>
        <w:tc>
          <w:tcPr>
            <w:tcW w:w="405" w:type="pct"/>
            <w:shd w:val="clear" w:color="000000" w:fill="FFFFFF"/>
            <w:vAlign w:val="center"/>
          </w:tcPr>
          <w:p w14:paraId="4BDCF30D">
            <w:pPr>
              <w:widowControl/>
              <w:jc w:val="center"/>
              <w:rPr>
                <w:rFonts w:hint="eastAsia"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1</w:t>
            </w:r>
          </w:p>
        </w:tc>
        <w:tc>
          <w:tcPr>
            <w:tcW w:w="3400" w:type="pct"/>
            <w:shd w:val="clear" w:color="auto" w:fill="auto"/>
            <w:vAlign w:val="center"/>
          </w:tcPr>
          <w:p w14:paraId="7665252B">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对租赁设备的产品技术参数进行打分，技术参数要求进行逐条应答，完全对应磋商文件设备的产品技术参数要求得2</w:t>
            </w:r>
            <w:r>
              <w:rPr>
                <w:rFonts w:ascii="宋体" w:hAnsi="宋体" w:cs="宋体"/>
                <w:kern w:val="0"/>
                <w:sz w:val="24"/>
                <w:szCs w:val="24"/>
              </w:rPr>
              <w:t>1</w:t>
            </w:r>
            <w:r>
              <w:rPr>
                <w:rFonts w:hint="eastAsia" w:ascii="宋体" w:hAnsi="宋体" w:cs="宋体"/>
                <w:kern w:val="0"/>
                <w:sz w:val="24"/>
                <w:szCs w:val="24"/>
              </w:rPr>
              <w:t>分，产品技术参数中的打</w:t>
            </w:r>
            <w:bookmarkStart w:id="79" w:name="OLE_LINK4"/>
            <w:r>
              <w:rPr>
                <w:rFonts w:hint="eastAsia" w:ascii="宋体" w:hAnsi="宋体" w:cs="宋体"/>
                <w:kern w:val="0"/>
                <w:sz w:val="24"/>
                <w:szCs w:val="24"/>
              </w:rPr>
              <w:t>★</w:t>
            </w:r>
            <w:bookmarkEnd w:id="79"/>
            <w:r>
              <w:rPr>
                <w:rFonts w:hint="eastAsia" w:ascii="宋体" w:hAnsi="宋体" w:cs="宋体"/>
                <w:kern w:val="0"/>
                <w:sz w:val="24"/>
                <w:szCs w:val="24"/>
              </w:rPr>
              <w:t>项为核心参数，不接受负偏离。打▲的为重要参数，不满足，每项扣1分，其他项不满足，每项扣0.5分，扣完为止。（需按要求提供相关证明材料或者截图的，证明材料或者功能截图需要与磋商文件描述功能吻合，并都需加盖磋商响应供应商公章，磋商响应时未提供相关证明材料或功能截图不符合要求者，视为负偏离。）</w:t>
            </w:r>
          </w:p>
        </w:tc>
      </w:tr>
      <w:tr w14:paraId="48142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2" w:hRule="atLeast"/>
        </w:trPr>
        <w:tc>
          <w:tcPr>
            <w:tcW w:w="385" w:type="pct"/>
            <w:shd w:val="clear" w:color="auto" w:fill="auto"/>
            <w:vAlign w:val="center"/>
          </w:tcPr>
          <w:p w14:paraId="0DB56D52">
            <w:pPr>
              <w:widowControl/>
              <w:jc w:val="center"/>
              <w:rPr>
                <w:rFonts w:hint="eastAsia" w:ascii="宋体" w:hAnsi="宋体" w:cs="宋体"/>
                <w:kern w:val="0"/>
                <w:sz w:val="24"/>
                <w:szCs w:val="24"/>
              </w:rPr>
            </w:pPr>
            <w:r>
              <w:rPr>
                <w:rFonts w:hint="eastAsia" w:ascii="宋体" w:hAnsi="宋体" w:cs="宋体"/>
                <w:kern w:val="0"/>
                <w:sz w:val="24"/>
                <w:szCs w:val="24"/>
              </w:rPr>
              <w:t>2</w:t>
            </w:r>
          </w:p>
        </w:tc>
        <w:tc>
          <w:tcPr>
            <w:tcW w:w="810" w:type="pct"/>
            <w:shd w:val="clear" w:color="auto" w:fill="auto"/>
            <w:vAlign w:val="center"/>
          </w:tcPr>
          <w:p w14:paraId="042F9CF0">
            <w:pPr>
              <w:widowControl/>
              <w:jc w:val="center"/>
              <w:rPr>
                <w:rFonts w:hint="eastAsia" w:ascii="宋体" w:hAnsi="宋体" w:cs="宋体"/>
                <w:kern w:val="0"/>
                <w:sz w:val="24"/>
                <w:szCs w:val="24"/>
              </w:rPr>
            </w:pPr>
            <w:r>
              <w:rPr>
                <w:rFonts w:hint="eastAsia" w:ascii="宋体" w:hAnsi="宋体" w:cs="宋体"/>
                <w:kern w:val="0"/>
                <w:sz w:val="24"/>
                <w:szCs w:val="24"/>
              </w:rPr>
              <w:t>项目服务方案</w:t>
            </w:r>
          </w:p>
        </w:tc>
        <w:tc>
          <w:tcPr>
            <w:tcW w:w="405" w:type="pct"/>
            <w:shd w:val="clear" w:color="000000" w:fill="FFFFFF"/>
            <w:vAlign w:val="center"/>
          </w:tcPr>
          <w:p w14:paraId="31A454DE">
            <w:pPr>
              <w:widowControl/>
              <w:jc w:val="center"/>
              <w:rPr>
                <w:rFonts w:hint="eastAsia" w:ascii="宋体" w:hAnsi="宋体" w:cs="宋体"/>
                <w:kern w:val="0"/>
                <w:sz w:val="24"/>
                <w:szCs w:val="24"/>
              </w:rPr>
            </w:pPr>
            <w:r>
              <w:rPr>
                <w:rFonts w:ascii="宋体" w:hAnsi="宋体" w:cs="宋体"/>
                <w:kern w:val="0"/>
                <w:sz w:val="24"/>
                <w:szCs w:val="24"/>
              </w:rPr>
              <w:t>20</w:t>
            </w:r>
          </w:p>
        </w:tc>
        <w:tc>
          <w:tcPr>
            <w:tcW w:w="3400" w:type="pct"/>
            <w:shd w:val="clear" w:color="auto" w:fill="auto"/>
            <w:vAlign w:val="center"/>
          </w:tcPr>
          <w:p w14:paraId="08588C8A">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本项目针对南通市图书馆智能化维保服务，提供本次采购需求中维保服务清单设备一年软硬件维保服务，包含但不限于设备保修、设备维护、日常巡检、日常服务等。供应商可自行进行现场勘测，熟悉相关情况，并提供相应的项目服务方案：</w:t>
            </w:r>
            <w:r>
              <w:rPr>
                <w:rFonts w:hint="eastAsia" w:ascii="宋体" w:hAnsi="宋体" w:cs="宋体"/>
                <w:kern w:val="0"/>
                <w:sz w:val="24"/>
                <w:szCs w:val="24"/>
              </w:rPr>
              <w:br w:type="textWrapping"/>
            </w:r>
            <w:r>
              <w:rPr>
                <w:rFonts w:hint="eastAsia" w:ascii="宋体" w:hAnsi="宋体" w:cs="宋体"/>
                <w:kern w:val="0"/>
                <w:sz w:val="24"/>
                <w:szCs w:val="24"/>
              </w:rPr>
              <w:t>（1）项目服务方案中需包含南通市图书馆维保项目现场情况：设备机柜安装示意图、网络架构等，内容完整的可得</w:t>
            </w:r>
            <w:r>
              <w:rPr>
                <w:rFonts w:ascii="宋体" w:hAnsi="宋体" w:cs="宋体"/>
                <w:kern w:val="0"/>
                <w:sz w:val="24"/>
                <w:szCs w:val="24"/>
              </w:rPr>
              <w:t>4</w:t>
            </w:r>
            <w:r>
              <w:rPr>
                <w:rFonts w:hint="eastAsia" w:ascii="宋体" w:hAnsi="宋体" w:cs="宋体"/>
                <w:kern w:val="0"/>
                <w:sz w:val="24"/>
                <w:szCs w:val="24"/>
              </w:rPr>
              <w:t>分，内容略有偏差的得2分，内容有较</w:t>
            </w:r>
            <w:r>
              <w:rPr>
                <w:rFonts w:ascii="宋体" w:hAnsi="宋体" w:cs="宋体"/>
                <w:kern w:val="0"/>
                <w:sz w:val="24"/>
                <w:szCs w:val="24"/>
              </w:rPr>
              <w:t>大</w:t>
            </w:r>
            <w:r>
              <w:rPr>
                <w:rFonts w:hint="eastAsia" w:ascii="宋体" w:hAnsi="宋体" w:cs="宋体"/>
                <w:kern w:val="0"/>
                <w:sz w:val="24"/>
                <w:szCs w:val="24"/>
              </w:rPr>
              <w:t>偏差的得1分，未提供的不得分。</w:t>
            </w:r>
            <w:r>
              <w:rPr>
                <w:rFonts w:hint="eastAsia" w:ascii="宋体" w:hAnsi="宋体" w:cs="宋体"/>
                <w:kern w:val="0"/>
                <w:sz w:val="24"/>
                <w:szCs w:val="24"/>
              </w:rPr>
              <w:br w:type="textWrapping"/>
            </w:r>
            <w:r>
              <w:rPr>
                <w:rFonts w:hint="eastAsia" w:ascii="宋体" w:hAnsi="宋体" w:cs="宋体"/>
                <w:kern w:val="0"/>
                <w:sz w:val="24"/>
                <w:szCs w:val="24"/>
              </w:rPr>
              <w:t>（2）项目服务方案中需包含维保服务方案：包含详细维保服务内容、服务体系架构、服务范围、日常巡检、日常故障解决等，内容明确、全面、完整的可得</w:t>
            </w:r>
            <w:r>
              <w:rPr>
                <w:rFonts w:ascii="宋体" w:hAnsi="宋体" w:cs="宋体"/>
                <w:kern w:val="0"/>
                <w:sz w:val="24"/>
                <w:szCs w:val="24"/>
              </w:rPr>
              <w:t>8</w:t>
            </w:r>
            <w:r>
              <w:rPr>
                <w:rFonts w:hint="eastAsia" w:ascii="宋体" w:hAnsi="宋体" w:cs="宋体"/>
                <w:kern w:val="0"/>
                <w:sz w:val="24"/>
                <w:szCs w:val="24"/>
              </w:rPr>
              <w:t>分，思路不够清晰，方案内容有少量缺漏或偏差的得</w:t>
            </w:r>
            <w:r>
              <w:rPr>
                <w:rFonts w:ascii="宋体" w:hAnsi="宋体" w:cs="宋体"/>
                <w:kern w:val="0"/>
                <w:sz w:val="24"/>
                <w:szCs w:val="24"/>
              </w:rPr>
              <w:t>5</w:t>
            </w:r>
            <w:r>
              <w:rPr>
                <w:rFonts w:hint="eastAsia" w:ascii="宋体" w:hAnsi="宋体" w:cs="宋体"/>
                <w:kern w:val="0"/>
                <w:sz w:val="24"/>
                <w:szCs w:val="24"/>
              </w:rPr>
              <w:t>分；方案内容缺项严重、简单粗糙、泛泛而谈，表达混乱的得</w:t>
            </w:r>
            <w:r>
              <w:rPr>
                <w:rFonts w:ascii="宋体" w:hAnsi="宋体" w:cs="宋体"/>
                <w:kern w:val="0"/>
                <w:sz w:val="24"/>
                <w:szCs w:val="24"/>
              </w:rPr>
              <w:t>2</w:t>
            </w:r>
            <w:r>
              <w:rPr>
                <w:rFonts w:hint="eastAsia" w:ascii="宋体" w:hAnsi="宋体" w:cs="宋体"/>
                <w:kern w:val="0"/>
                <w:sz w:val="24"/>
                <w:szCs w:val="24"/>
              </w:rPr>
              <w:t>分；未有内容体现的不得分。</w:t>
            </w:r>
            <w:r>
              <w:rPr>
                <w:rFonts w:hint="eastAsia" w:ascii="宋体" w:hAnsi="宋体" w:cs="宋体"/>
                <w:kern w:val="0"/>
                <w:sz w:val="24"/>
                <w:szCs w:val="24"/>
              </w:rPr>
              <w:br w:type="textWrapping"/>
            </w:r>
            <w:r>
              <w:rPr>
                <w:rFonts w:hint="eastAsia" w:ascii="宋体" w:hAnsi="宋体" w:cs="宋体"/>
                <w:kern w:val="0"/>
                <w:sz w:val="24"/>
                <w:szCs w:val="24"/>
              </w:rPr>
              <w:t>（3）项目服务方案中需包含应急响应服务方案：内容包含出现紧急故障或者事件时的应急预案、响应时间、专业技术人员团队、人员分工等内容。内容明确、全面、完整的可得</w:t>
            </w:r>
            <w:r>
              <w:rPr>
                <w:rFonts w:ascii="宋体" w:hAnsi="宋体" w:cs="宋体"/>
                <w:kern w:val="0"/>
                <w:sz w:val="24"/>
                <w:szCs w:val="24"/>
              </w:rPr>
              <w:t>8</w:t>
            </w:r>
            <w:r>
              <w:rPr>
                <w:rFonts w:hint="eastAsia" w:ascii="宋体" w:hAnsi="宋体" w:cs="宋体"/>
                <w:kern w:val="0"/>
                <w:sz w:val="24"/>
                <w:szCs w:val="24"/>
              </w:rPr>
              <w:t>分，思路不够清晰，方案内容有少量缺漏或偏差的得</w:t>
            </w:r>
            <w:r>
              <w:rPr>
                <w:rFonts w:ascii="宋体" w:hAnsi="宋体" w:cs="宋体"/>
                <w:kern w:val="0"/>
                <w:sz w:val="24"/>
                <w:szCs w:val="24"/>
              </w:rPr>
              <w:t>5</w:t>
            </w:r>
            <w:r>
              <w:rPr>
                <w:rFonts w:hint="eastAsia" w:ascii="宋体" w:hAnsi="宋体" w:cs="宋体"/>
                <w:kern w:val="0"/>
                <w:sz w:val="24"/>
                <w:szCs w:val="24"/>
              </w:rPr>
              <w:t>分；方案内容缺项严重、简单粗糙、泛泛而谈，表达混乱的得</w:t>
            </w:r>
            <w:r>
              <w:rPr>
                <w:rFonts w:ascii="宋体" w:hAnsi="宋体" w:cs="宋体"/>
                <w:kern w:val="0"/>
                <w:sz w:val="24"/>
                <w:szCs w:val="24"/>
              </w:rPr>
              <w:t>2</w:t>
            </w:r>
            <w:r>
              <w:rPr>
                <w:rFonts w:hint="eastAsia" w:ascii="宋体" w:hAnsi="宋体" w:cs="宋体"/>
                <w:kern w:val="0"/>
                <w:sz w:val="24"/>
                <w:szCs w:val="24"/>
              </w:rPr>
              <w:t>分；未有内容体现的不得分。</w:t>
            </w:r>
          </w:p>
        </w:tc>
      </w:tr>
      <w:tr w14:paraId="28B18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385" w:type="pct"/>
            <w:shd w:val="clear" w:color="auto" w:fill="auto"/>
            <w:vAlign w:val="center"/>
          </w:tcPr>
          <w:p w14:paraId="490E380E">
            <w:pPr>
              <w:widowControl/>
              <w:jc w:val="center"/>
              <w:rPr>
                <w:rFonts w:hint="eastAsia" w:ascii="宋体" w:hAnsi="宋体" w:cs="宋体"/>
                <w:kern w:val="0"/>
                <w:sz w:val="24"/>
                <w:szCs w:val="24"/>
              </w:rPr>
            </w:pPr>
            <w:r>
              <w:rPr>
                <w:rFonts w:hint="eastAsia" w:ascii="宋体" w:hAnsi="宋体" w:cs="宋体"/>
                <w:kern w:val="0"/>
                <w:sz w:val="24"/>
                <w:szCs w:val="24"/>
              </w:rPr>
              <w:t>3</w:t>
            </w:r>
          </w:p>
        </w:tc>
        <w:tc>
          <w:tcPr>
            <w:tcW w:w="810" w:type="pct"/>
            <w:shd w:val="clear" w:color="auto" w:fill="auto"/>
            <w:vAlign w:val="center"/>
          </w:tcPr>
          <w:p w14:paraId="418944A2">
            <w:pPr>
              <w:widowControl/>
              <w:jc w:val="center"/>
              <w:rPr>
                <w:rFonts w:hint="eastAsia" w:ascii="宋体" w:hAnsi="宋体" w:cs="宋体"/>
                <w:kern w:val="0"/>
                <w:sz w:val="24"/>
                <w:szCs w:val="24"/>
              </w:rPr>
            </w:pPr>
            <w:r>
              <w:rPr>
                <w:rFonts w:hint="eastAsia" w:ascii="宋体" w:hAnsi="宋体" w:cs="宋体"/>
                <w:kern w:val="0"/>
                <w:sz w:val="24"/>
                <w:szCs w:val="24"/>
              </w:rPr>
              <w:t>产品资质</w:t>
            </w:r>
          </w:p>
        </w:tc>
        <w:tc>
          <w:tcPr>
            <w:tcW w:w="405" w:type="pct"/>
            <w:shd w:val="clear" w:color="000000" w:fill="FFFFFF"/>
            <w:vAlign w:val="center"/>
          </w:tcPr>
          <w:p w14:paraId="4A1AC2A2">
            <w:pPr>
              <w:widowControl/>
              <w:jc w:val="center"/>
              <w:rPr>
                <w:rFonts w:hint="eastAsia" w:ascii="宋体" w:hAnsi="宋体" w:cs="宋体"/>
                <w:kern w:val="0"/>
                <w:sz w:val="24"/>
                <w:szCs w:val="24"/>
              </w:rPr>
            </w:pPr>
            <w:r>
              <w:rPr>
                <w:rFonts w:ascii="宋体" w:hAnsi="宋体" w:cs="宋体"/>
                <w:kern w:val="0"/>
                <w:sz w:val="24"/>
                <w:szCs w:val="24"/>
              </w:rPr>
              <w:t>5</w:t>
            </w:r>
          </w:p>
        </w:tc>
        <w:tc>
          <w:tcPr>
            <w:tcW w:w="3400" w:type="pct"/>
            <w:shd w:val="clear" w:color="auto" w:fill="auto"/>
            <w:vAlign w:val="center"/>
          </w:tcPr>
          <w:p w14:paraId="7FA99B23">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1、所投上网行为管理产品的生产厂商具备中国网络安全审查技术与认证中心的信息安全软件开发一级服务资质的可得</w:t>
            </w:r>
            <w:r>
              <w:rPr>
                <w:rFonts w:ascii="宋体" w:hAnsi="宋体" w:cs="宋体"/>
                <w:kern w:val="0"/>
                <w:sz w:val="24"/>
                <w:szCs w:val="24"/>
              </w:rPr>
              <w:t>1.5</w:t>
            </w:r>
            <w:r>
              <w:rPr>
                <w:rFonts w:hint="eastAsia" w:ascii="宋体" w:hAnsi="宋体" w:cs="宋体"/>
                <w:kern w:val="0"/>
                <w:sz w:val="24"/>
                <w:szCs w:val="24"/>
              </w:rPr>
              <w:t>分；二级服务资质的可得1分，三级服务资质的可得0.5分。</w:t>
            </w:r>
            <w:r>
              <w:rPr>
                <w:rFonts w:hint="eastAsia" w:ascii="宋体" w:hAnsi="宋体" w:cs="宋体"/>
                <w:kern w:val="0"/>
                <w:sz w:val="24"/>
                <w:szCs w:val="24"/>
              </w:rPr>
              <w:br w:type="textWrapping"/>
            </w:r>
            <w:r>
              <w:rPr>
                <w:rFonts w:hint="eastAsia" w:ascii="宋体" w:hAnsi="宋体" w:cs="宋体"/>
                <w:kern w:val="0"/>
                <w:sz w:val="24"/>
                <w:szCs w:val="24"/>
              </w:rPr>
              <w:t>2、所投</w:t>
            </w:r>
            <w:r>
              <w:rPr>
                <w:rFonts w:hint="eastAsia" w:ascii="宋体" w:hAnsi="宋体"/>
                <w:sz w:val="24"/>
                <w:szCs w:val="24"/>
              </w:rPr>
              <w:t>零信任综合网关</w:t>
            </w:r>
            <w:r>
              <w:rPr>
                <w:rFonts w:hint="eastAsia" w:ascii="宋体" w:hAnsi="宋体" w:cs="宋体"/>
                <w:kern w:val="0"/>
                <w:sz w:val="24"/>
                <w:szCs w:val="24"/>
              </w:rPr>
              <w:t>产品具备公安部计算机信息系统安全产品质量监督检验中心颁发的《网络安全专用产品安全检测证书》证书内容需为零信任类产品的，可得</w:t>
            </w:r>
            <w:r>
              <w:rPr>
                <w:rFonts w:ascii="宋体" w:hAnsi="宋体" w:cs="宋体"/>
                <w:kern w:val="0"/>
                <w:sz w:val="24"/>
                <w:szCs w:val="24"/>
              </w:rPr>
              <w:t>1.5</w:t>
            </w:r>
            <w:r>
              <w:rPr>
                <w:rFonts w:hint="eastAsia" w:ascii="宋体" w:hAnsi="宋体" w:cs="宋体"/>
                <w:kern w:val="0"/>
                <w:sz w:val="24"/>
                <w:szCs w:val="24"/>
              </w:rPr>
              <w:t>分；</w:t>
            </w:r>
            <w:r>
              <w:rPr>
                <w:rFonts w:hint="eastAsia" w:ascii="宋体" w:hAnsi="宋体" w:cs="宋体"/>
                <w:kern w:val="0"/>
                <w:sz w:val="24"/>
                <w:szCs w:val="24"/>
              </w:rPr>
              <w:br w:type="textWrapping"/>
            </w:r>
            <w:r>
              <w:rPr>
                <w:rFonts w:hint="eastAsia" w:ascii="宋体" w:hAnsi="宋体" w:cs="宋体"/>
                <w:kern w:val="0"/>
                <w:sz w:val="24"/>
                <w:szCs w:val="24"/>
              </w:rPr>
              <w:t>3、所投</w:t>
            </w:r>
            <w:r>
              <w:rPr>
                <w:rFonts w:hint="eastAsia" w:ascii="宋体" w:hAnsi="宋体"/>
                <w:sz w:val="24"/>
                <w:szCs w:val="24"/>
              </w:rPr>
              <w:t>零信任综合网关</w:t>
            </w:r>
            <w:r>
              <w:rPr>
                <w:rFonts w:hint="eastAsia" w:ascii="宋体" w:hAnsi="宋体" w:cs="宋体"/>
                <w:kern w:val="0"/>
                <w:sz w:val="24"/>
                <w:szCs w:val="24"/>
              </w:rPr>
              <w:t>产品具备国家机构的商用密码检测中心出具的《商用密码产品认证证书》，证书内容需为零信任类产品的，可得</w:t>
            </w:r>
            <w:r>
              <w:rPr>
                <w:rFonts w:ascii="宋体" w:hAnsi="宋体" w:cs="宋体"/>
                <w:kern w:val="0"/>
                <w:sz w:val="24"/>
                <w:szCs w:val="24"/>
              </w:rPr>
              <w:t>1</w:t>
            </w:r>
            <w:r>
              <w:rPr>
                <w:rFonts w:hint="eastAsia" w:ascii="宋体" w:hAnsi="宋体" w:cs="宋体"/>
                <w:kern w:val="0"/>
                <w:sz w:val="24"/>
                <w:szCs w:val="24"/>
              </w:rPr>
              <w:t>分；</w:t>
            </w:r>
            <w:r>
              <w:rPr>
                <w:rFonts w:hint="eastAsia" w:ascii="宋体" w:hAnsi="宋体" w:cs="宋体"/>
                <w:kern w:val="0"/>
                <w:sz w:val="24"/>
                <w:szCs w:val="24"/>
              </w:rPr>
              <w:br w:type="textWrapping"/>
            </w:r>
            <w:r>
              <w:rPr>
                <w:rFonts w:ascii="宋体" w:hAnsi="宋体" w:cs="宋体"/>
                <w:kern w:val="0"/>
                <w:sz w:val="24"/>
                <w:szCs w:val="24"/>
              </w:rPr>
              <w:t>4</w:t>
            </w:r>
            <w:r>
              <w:rPr>
                <w:rFonts w:hint="eastAsia" w:ascii="宋体" w:hAnsi="宋体" w:cs="宋体"/>
                <w:kern w:val="0"/>
                <w:sz w:val="24"/>
                <w:szCs w:val="24"/>
              </w:rPr>
              <w:t>、所投保垒机产品具备</w:t>
            </w:r>
            <w:bookmarkStart w:id="80" w:name="OLE_LINK3"/>
            <w:r>
              <w:rPr>
                <w:rFonts w:hint="eastAsia" w:ascii="宋体" w:hAnsi="宋体" w:cs="宋体"/>
                <w:kern w:val="0"/>
                <w:sz w:val="24"/>
                <w:szCs w:val="24"/>
              </w:rPr>
              <w:t>中国信息通信研究院产品能力测评证书</w:t>
            </w:r>
            <w:bookmarkEnd w:id="80"/>
            <w:r>
              <w:rPr>
                <w:rFonts w:hint="eastAsia" w:ascii="宋体" w:hAnsi="宋体" w:cs="宋体"/>
                <w:kern w:val="0"/>
                <w:sz w:val="24"/>
                <w:szCs w:val="24"/>
              </w:rPr>
              <w:t>的，可得</w:t>
            </w:r>
            <w:r>
              <w:rPr>
                <w:rFonts w:ascii="宋体" w:hAnsi="宋体" w:cs="宋体"/>
                <w:kern w:val="0"/>
                <w:sz w:val="24"/>
                <w:szCs w:val="24"/>
              </w:rPr>
              <w:t>1</w:t>
            </w:r>
            <w:r>
              <w:rPr>
                <w:rFonts w:hint="eastAsia" w:ascii="宋体" w:hAnsi="宋体" w:cs="宋体"/>
                <w:kern w:val="0"/>
                <w:sz w:val="24"/>
                <w:szCs w:val="24"/>
              </w:rPr>
              <w:t>分；</w:t>
            </w:r>
            <w:r>
              <w:rPr>
                <w:rFonts w:hint="eastAsia" w:ascii="宋体" w:hAnsi="宋体" w:cs="宋体"/>
                <w:kern w:val="0"/>
                <w:sz w:val="24"/>
                <w:szCs w:val="24"/>
              </w:rPr>
              <w:br w:type="textWrapping"/>
            </w:r>
            <w:r>
              <w:rPr>
                <w:rFonts w:hint="eastAsia" w:ascii="宋体" w:hAnsi="宋体" w:cs="宋体"/>
                <w:kern w:val="0"/>
                <w:sz w:val="24"/>
                <w:szCs w:val="24"/>
              </w:rPr>
              <w:t>以上内容需要提供证书或相关证明材料，并加盖磋商响应供应商公章，如未提供视为未符合，不得分。</w:t>
            </w:r>
          </w:p>
        </w:tc>
      </w:tr>
      <w:tr w14:paraId="3D847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4" w:hRule="atLeast"/>
        </w:trPr>
        <w:tc>
          <w:tcPr>
            <w:tcW w:w="385" w:type="pct"/>
            <w:shd w:val="clear" w:color="auto" w:fill="auto"/>
            <w:vAlign w:val="center"/>
          </w:tcPr>
          <w:p w14:paraId="3DE92A31">
            <w:pPr>
              <w:widowControl/>
              <w:jc w:val="center"/>
              <w:rPr>
                <w:rFonts w:hint="eastAsia" w:ascii="宋体" w:hAnsi="宋体" w:cs="宋体"/>
                <w:kern w:val="0"/>
                <w:sz w:val="24"/>
                <w:szCs w:val="24"/>
              </w:rPr>
            </w:pPr>
            <w:r>
              <w:rPr>
                <w:rFonts w:hint="eastAsia" w:ascii="宋体" w:hAnsi="宋体" w:cs="宋体"/>
                <w:kern w:val="0"/>
                <w:sz w:val="24"/>
                <w:szCs w:val="24"/>
              </w:rPr>
              <w:t>4</w:t>
            </w:r>
          </w:p>
        </w:tc>
        <w:tc>
          <w:tcPr>
            <w:tcW w:w="810" w:type="pct"/>
            <w:shd w:val="clear" w:color="auto" w:fill="auto"/>
            <w:vAlign w:val="center"/>
          </w:tcPr>
          <w:p w14:paraId="35046A46">
            <w:pPr>
              <w:widowControl/>
              <w:jc w:val="center"/>
              <w:rPr>
                <w:rFonts w:hint="eastAsia" w:ascii="宋体" w:hAnsi="宋体" w:cs="宋体"/>
                <w:kern w:val="0"/>
                <w:sz w:val="24"/>
                <w:szCs w:val="24"/>
              </w:rPr>
            </w:pPr>
            <w:r>
              <w:rPr>
                <w:rFonts w:hint="eastAsia" w:ascii="宋体" w:hAnsi="宋体" w:cs="宋体"/>
                <w:kern w:val="0"/>
                <w:sz w:val="24"/>
                <w:szCs w:val="24"/>
              </w:rPr>
              <w:t>企业资信履约能力</w:t>
            </w:r>
          </w:p>
        </w:tc>
        <w:tc>
          <w:tcPr>
            <w:tcW w:w="405" w:type="pct"/>
            <w:shd w:val="clear" w:color="000000" w:fill="FFFFFF"/>
            <w:vAlign w:val="center"/>
          </w:tcPr>
          <w:p w14:paraId="056DDC6B">
            <w:pPr>
              <w:widowControl/>
              <w:jc w:val="center"/>
              <w:rPr>
                <w:rFonts w:hint="eastAsia" w:ascii="宋体" w:hAnsi="宋体" w:cs="宋体"/>
                <w:kern w:val="0"/>
                <w:sz w:val="24"/>
                <w:szCs w:val="24"/>
              </w:rPr>
            </w:pPr>
            <w:r>
              <w:rPr>
                <w:rFonts w:ascii="宋体" w:hAnsi="宋体" w:cs="宋体"/>
                <w:kern w:val="0"/>
                <w:sz w:val="24"/>
                <w:szCs w:val="24"/>
              </w:rPr>
              <w:t>5</w:t>
            </w:r>
          </w:p>
        </w:tc>
        <w:tc>
          <w:tcPr>
            <w:tcW w:w="3400" w:type="pct"/>
            <w:shd w:val="clear" w:color="auto" w:fill="auto"/>
            <w:vAlign w:val="center"/>
          </w:tcPr>
          <w:p w14:paraId="62ADB84E">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1、磋商响应供应商具有有效机构颁发的有效期内的ISO27701《</w:t>
            </w:r>
            <w:bookmarkStart w:id="81" w:name="OLE_LINK1"/>
            <w:r>
              <w:rPr>
                <w:rFonts w:hint="eastAsia" w:ascii="宋体" w:hAnsi="宋体" w:cs="宋体"/>
                <w:kern w:val="0"/>
                <w:sz w:val="24"/>
                <w:szCs w:val="24"/>
              </w:rPr>
              <w:t>隐私信息管理体系认证证书</w:t>
            </w:r>
            <w:bookmarkEnd w:id="81"/>
            <w:r>
              <w:rPr>
                <w:rFonts w:hint="eastAsia" w:ascii="宋体" w:hAnsi="宋体" w:cs="宋体"/>
                <w:kern w:val="0"/>
                <w:sz w:val="24"/>
                <w:szCs w:val="24"/>
              </w:rPr>
              <w:t>》的可得1分。</w:t>
            </w:r>
            <w:r>
              <w:rPr>
                <w:rFonts w:hint="eastAsia" w:ascii="宋体" w:hAnsi="宋体" w:cs="宋体"/>
                <w:kern w:val="0"/>
                <w:sz w:val="24"/>
                <w:szCs w:val="24"/>
              </w:rPr>
              <w:br w:type="textWrapping"/>
            </w:r>
            <w:r>
              <w:rPr>
                <w:rFonts w:hint="eastAsia" w:ascii="宋体" w:hAnsi="宋体" w:cs="宋体"/>
                <w:kern w:val="0"/>
                <w:sz w:val="24"/>
                <w:szCs w:val="24"/>
              </w:rPr>
              <w:t>2、磋商响应供应商具有效期内的信息技术服务标准（ITSS）资质三级及以上，磋商响应时提供https://www.itss.cn/web/itss/c/xxcx/cert（官方查询网站）有效截图证明材料，得1分。</w:t>
            </w:r>
            <w:r>
              <w:rPr>
                <w:rFonts w:hint="eastAsia" w:ascii="宋体" w:hAnsi="宋体" w:cs="宋体"/>
                <w:kern w:val="0"/>
                <w:sz w:val="24"/>
                <w:szCs w:val="24"/>
              </w:rPr>
              <w:br w:type="textWrapping"/>
            </w:r>
            <w:r>
              <w:rPr>
                <w:rFonts w:hint="eastAsia" w:ascii="宋体" w:hAnsi="宋体" w:cs="宋体"/>
                <w:kern w:val="0"/>
                <w:sz w:val="24"/>
                <w:szCs w:val="24"/>
              </w:rPr>
              <w:t>3、磋商响应供应商具有中国国家认证认可监督管理委员会认可的针对</w:t>
            </w:r>
            <w:bookmarkStart w:id="82" w:name="OLE_LINK2"/>
            <w:r>
              <w:rPr>
                <w:rFonts w:hint="eastAsia" w:ascii="宋体" w:hAnsi="宋体" w:cs="宋体"/>
                <w:kern w:val="0"/>
                <w:sz w:val="24"/>
                <w:szCs w:val="24"/>
              </w:rPr>
              <w:t>计算机信息化系统集成售后服务的《售后服务认证证书》</w:t>
            </w:r>
            <w:bookmarkEnd w:id="82"/>
            <w:r>
              <w:rPr>
                <w:rFonts w:hint="eastAsia" w:ascii="宋体" w:hAnsi="宋体" w:cs="宋体"/>
                <w:kern w:val="0"/>
                <w:sz w:val="24"/>
                <w:szCs w:val="24"/>
              </w:rPr>
              <w:t>七星及以上的得</w:t>
            </w:r>
            <w:r>
              <w:rPr>
                <w:rFonts w:ascii="宋体" w:hAnsi="宋体" w:cs="宋体"/>
                <w:kern w:val="0"/>
                <w:sz w:val="24"/>
                <w:szCs w:val="24"/>
              </w:rPr>
              <w:t>1</w:t>
            </w:r>
            <w:r>
              <w:rPr>
                <w:rFonts w:hint="eastAsia" w:ascii="宋体" w:hAnsi="宋体" w:cs="宋体"/>
                <w:kern w:val="0"/>
                <w:sz w:val="24"/>
                <w:szCs w:val="24"/>
              </w:rPr>
              <w:t>分；五星及以下的得</w:t>
            </w:r>
            <w:r>
              <w:rPr>
                <w:rFonts w:ascii="宋体" w:hAnsi="宋体" w:cs="宋体"/>
                <w:kern w:val="0"/>
                <w:sz w:val="24"/>
                <w:szCs w:val="24"/>
              </w:rPr>
              <w:t>0.5</w:t>
            </w:r>
            <w:r>
              <w:rPr>
                <w:rFonts w:hint="eastAsia" w:ascii="宋体" w:hAnsi="宋体" w:cs="宋体"/>
                <w:kern w:val="0"/>
                <w:sz w:val="24"/>
                <w:szCs w:val="24"/>
              </w:rPr>
              <w:t>分。</w:t>
            </w:r>
            <w:r>
              <w:rPr>
                <w:rFonts w:hint="eastAsia" w:ascii="宋体" w:hAnsi="宋体" w:cs="宋体"/>
                <w:kern w:val="0"/>
                <w:sz w:val="24"/>
                <w:szCs w:val="24"/>
              </w:rPr>
              <w:br w:type="textWrapping"/>
            </w:r>
            <w:r>
              <w:rPr>
                <w:rFonts w:hint="eastAsia" w:ascii="宋体" w:hAnsi="宋体" w:cs="宋体"/>
                <w:kern w:val="0"/>
                <w:sz w:val="24"/>
                <w:szCs w:val="24"/>
              </w:rPr>
              <w:t>4、磋商响应供应商具有有效机构颁发的有效期内的应急预案管理能力评价体系认证证书的得1分。</w:t>
            </w:r>
            <w:r>
              <w:rPr>
                <w:rFonts w:hint="eastAsia" w:ascii="宋体" w:hAnsi="宋体" w:cs="宋体"/>
                <w:kern w:val="0"/>
                <w:sz w:val="24"/>
                <w:szCs w:val="24"/>
              </w:rPr>
              <w:br w:type="textWrapping"/>
            </w:r>
            <w:r>
              <w:rPr>
                <w:rFonts w:hint="eastAsia" w:ascii="宋体" w:hAnsi="宋体" w:cs="宋体"/>
                <w:kern w:val="0"/>
                <w:sz w:val="24"/>
                <w:szCs w:val="24"/>
              </w:rPr>
              <w:t>5、磋商响应供应商具有有效期内的信息安全服务资质认证证书（CCRC）资质，得</w:t>
            </w:r>
            <w:r>
              <w:rPr>
                <w:rFonts w:ascii="宋体" w:hAnsi="宋体" w:cs="宋体"/>
                <w:kern w:val="0"/>
                <w:sz w:val="24"/>
                <w:szCs w:val="24"/>
              </w:rPr>
              <w:t>1</w:t>
            </w:r>
            <w:r>
              <w:rPr>
                <w:rFonts w:hint="eastAsia" w:ascii="宋体" w:hAnsi="宋体" w:cs="宋体"/>
                <w:kern w:val="0"/>
                <w:sz w:val="24"/>
                <w:szCs w:val="24"/>
              </w:rPr>
              <w:t>分。</w:t>
            </w:r>
            <w:r>
              <w:rPr>
                <w:rFonts w:hint="eastAsia" w:ascii="宋体" w:hAnsi="宋体" w:cs="宋体"/>
                <w:kern w:val="0"/>
                <w:sz w:val="24"/>
                <w:szCs w:val="24"/>
              </w:rPr>
              <w:br w:type="textWrapping"/>
            </w:r>
            <w:r>
              <w:rPr>
                <w:rFonts w:hint="eastAsia" w:ascii="宋体" w:hAnsi="宋体" w:cs="宋体"/>
                <w:kern w:val="0"/>
                <w:sz w:val="24"/>
                <w:szCs w:val="24"/>
              </w:rPr>
              <w:t>以上资质均需提供证书原件扫描件，并加盖磋商响应供应商公章，没有提供不得分。</w:t>
            </w:r>
          </w:p>
        </w:tc>
      </w:tr>
      <w:tr w14:paraId="1CABD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385" w:type="pct"/>
            <w:shd w:val="clear" w:color="auto" w:fill="auto"/>
            <w:vAlign w:val="center"/>
          </w:tcPr>
          <w:p w14:paraId="1D748A77">
            <w:pPr>
              <w:widowControl/>
              <w:jc w:val="center"/>
              <w:rPr>
                <w:rFonts w:hint="eastAsia" w:ascii="宋体" w:hAnsi="宋体" w:cs="宋体"/>
                <w:kern w:val="0"/>
                <w:sz w:val="24"/>
                <w:szCs w:val="24"/>
              </w:rPr>
            </w:pPr>
            <w:r>
              <w:rPr>
                <w:rFonts w:hint="eastAsia" w:ascii="宋体" w:hAnsi="宋体" w:cs="宋体"/>
                <w:kern w:val="0"/>
                <w:sz w:val="24"/>
                <w:szCs w:val="24"/>
              </w:rPr>
              <w:t>5</w:t>
            </w:r>
          </w:p>
        </w:tc>
        <w:tc>
          <w:tcPr>
            <w:tcW w:w="810" w:type="pct"/>
            <w:shd w:val="clear" w:color="auto" w:fill="auto"/>
            <w:vAlign w:val="center"/>
          </w:tcPr>
          <w:p w14:paraId="1AF0C888">
            <w:pPr>
              <w:widowControl/>
              <w:jc w:val="center"/>
              <w:rPr>
                <w:rFonts w:hint="eastAsia" w:ascii="宋体" w:hAnsi="宋体" w:cs="宋体"/>
                <w:kern w:val="0"/>
                <w:sz w:val="24"/>
                <w:szCs w:val="24"/>
              </w:rPr>
            </w:pPr>
            <w:r>
              <w:rPr>
                <w:rFonts w:hint="eastAsia" w:ascii="宋体" w:hAnsi="宋体" w:cs="宋体"/>
                <w:kern w:val="0"/>
                <w:sz w:val="24"/>
                <w:szCs w:val="24"/>
              </w:rPr>
              <w:t>人员技术能力</w:t>
            </w:r>
          </w:p>
        </w:tc>
        <w:tc>
          <w:tcPr>
            <w:tcW w:w="405" w:type="pct"/>
            <w:shd w:val="clear" w:color="000000" w:fill="FFFFFF"/>
            <w:vAlign w:val="center"/>
          </w:tcPr>
          <w:p w14:paraId="2249BFF5">
            <w:pPr>
              <w:widowControl/>
              <w:jc w:val="center"/>
              <w:rPr>
                <w:rFonts w:hint="eastAsia" w:ascii="宋体" w:hAnsi="宋体" w:cs="宋体"/>
                <w:kern w:val="0"/>
                <w:sz w:val="24"/>
                <w:szCs w:val="24"/>
              </w:rPr>
            </w:pPr>
            <w:r>
              <w:rPr>
                <w:rFonts w:hint="eastAsia" w:ascii="宋体" w:hAnsi="宋体" w:cs="宋体"/>
                <w:kern w:val="0"/>
                <w:sz w:val="24"/>
                <w:szCs w:val="24"/>
              </w:rPr>
              <w:t>12</w:t>
            </w:r>
          </w:p>
        </w:tc>
        <w:tc>
          <w:tcPr>
            <w:tcW w:w="3400" w:type="pct"/>
            <w:shd w:val="clear" w:color="auto" w:fill="auto"/>
            <w:vAlign w:val="center"/>
          </w:tcPr>
          <w:p w14:paraId="0255D67A">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1、本次项目拟派团队成员具有 CISAW 信息安全保障(安全集成)人员认证证书，得1.5 分；具有 CISAW 信息安全保障(风险管理)人员认证证书，得 1.5 分；具有 CISAW 信息安全保障(安全运维)人员认证证书，得 1.5 分；具有CISWA信息安全保障（应急服务）人员认证证书，得1.5分；本项最多可得 6分。</w:t>
            </w:r>
          </w:p>
          <w:p w14:paraId="3211A9D6">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注：本小条一人多证的不重复得分。</w:t>
            </w:r>
          </w:p>
          <w:p w14:paraId="6AAD5454">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2、本次项目拟派团队成员具有注册信息安全工程师证书（CISP）每提供一个，可得 1分，本项最多可得 2 分。</w:t>
            </w:r>
          </w:p>
          <w:p w14:paraId="16890657">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3、本次项目拟派团队成员具有相对应的网络认证专家（如： CCIE、HCIE、H3CIE）认证证书可得 2分，本项最多可得2分。</w:t>
            </w:r>
            <w:r>
              <w:rPr>
                <w:rFonts w:hint="eastAsia" w:ascii="宋体" w:hAnsi="宋体" w:cs="宋体"/>
                <w:kern w:val="0"/>
                <w:sz w:val="24"/>
                <w:szCs w:val="24"/>
              </w:rPr>
              <w:br w:type="textWrapping"/>
            </w:r>
            <w:r>
              <w:rPr>
                <w:rFonts w:hint="eastAsia" w:ascii="宋体" w:hAnsi="宋体" w:cs="宋体"/>
                <w:kern w:val="0"/>
                <w:sz w:val="24"/>
                <w:szCs w:val="24"/>
              </w:rPr>
              <w:t>4、本次项目拟派团队成员具有高级信息系统项目管理师证书的可得2分。</w:t>
            </w:r>
          </w:p>
          <w:p w14:paraId="21C4F9B2">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注：以上第2、3、4小条，一人多证的可重复得分；第1小条人员与第2、3、4小条人员可重复，重复的人员一人多证的可重复得分。</w:t>
            </w:r>
            <w:r>
              <w:rPr>
                <w:rFonts w:hint="eastAsia" w:ascii="宋体" w:hAnsi="宋体" w:cs="宋体"/>
                <w:kern w:val="0"/>
                <w:sz w:val="24"/>
                <w:szCs w:val="24"/>
              </w:rPr>
              <w:br w:type="textWrapping"/>
            </w:r>
            <w:r>
              <w:rPr>
                <w:rFonts w:hint="eastAsia" w:ascii="宋体" w:hAnsi="宋体" w:cs="宋体"/>
                <w:kern w:val="0"/>
                <w:sz w:val="24"/>
                <w:szCs w:val="24"/>
              </w:rPr>
              <w:t>（以上证书人员需均为磋商响应供应商在职员工，需提供磋商响应供应商为其在2024年8月-2025年1月中任意连续三个月的社保证明材料及工程师证书复印件加盖磋商响应供应商公章，缺一不可）</w:t>
            </w:r>
          </w:p>
        </w:tc>
      </w:tr>
      <w:tr w14:paraId="15C66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385" w:type="pct"/>
            <w:shd w:val="clear" w:color="auto" w:fill="auto"/>
            <w:vAlign w:val="center"/>
          </w:tcPr>
          <w:p w14:paraId="084D4A0C">
            <w:pPr>
              <w:widowControl/>
              <w:jc w:val="center"/>
              <w:rPr>
                <w:rFonts w:hint="eastAsia" w:ascii="宋体" w:hAnsi="宋体" w:cs="宋体"/>
                <w:kern w:val="0"/>
                <w:sz w:val="24"/>
                <w:szCs w:val="24"/>
              </w:rPr>
            </w:pPr>
            <w:r>
              <w:rPr>
                <w:rFonts w:hint="eastAsia" w:ascii="宋体" w:hAnsi="宋体" w:cs="宋体"/>
                <w:kern w:val="0"/>
                <w:sz w:val="24"/>
                <w:szCs w:val="24"/>
              </w:rPr>
              <w:t>6</w:t>
            </w:r>
          </w:p>
        </w:tc>
        <w:tc>
          <w:tcPr>
            <w:tcW w:w="810" w:type="pct"/>
            <w:shd w:val="clear" w:color="auto" w:fill="auto"/>
            <w:vAlign w:val="center"/>
          </w:tcPr>
          <w:p w14:paraId="181E528D">
            <w:pPr>
              <w:widowControl/>
              <w:jc w:val="center"/>
              <w:rPr>
                <w:rFonts w:hint="eastAsia" w:ascii="宋体" w:hAnsi="宋体" w:cs="宋体"/>
                <w:kern w:val="0"/>
                <w:sz w:val="24"/>
                <w:szCs w:val="24"/>
              </w:rPr>
            </w:pPr>
            <w:r>
              <w:rPr>
                <w:rFonts w:hint="eastAsia" w:ascii="宋体" w:hAnsi="宋体" w:cs="宋体"/>
                <w:kern w:val="0"/>
                <w:sz w:val="24"/>
                <w:szCs w:val="24"/>
              </w:rPr>
              <w:t>服务响应时间</w:t>
            </w:r>
          </w:p>
        </w:tc>
        <w:tc>
          <w:tcPr>
            <w:tcW w:w="405" w:type="pct"/>
            <w:shd w:val="clear" w:color="000000" w:fill="FFFFFF"/>
            <w:vAlign w:val="center"/>
          </w:tcPr>
          <w:p w14:paraId="5E51BACC">
            <w:pPr>
              <w:widowControl/>
              <w:jc w:val="center"/>
              <w:rPr>
                <w:rFonts w:hint="eastAsia" w:ascii="宋体" w:hAnsi="宋体" w:cs="宋体"/>
                <w:kern w:val="0"/>
                <w:sz w:val="24"/>
                <w:szCs w:val="24"/>
              </w:rPr>
            </w:pPr>
            <w:r>
              <w:rPr>
                <w:rFonts w:hint="eastAsia" w:ascii="宋体" w:hAnsi="宋体" w:cs="宋体"/>
                <w:kern w:val="0"/>
                <w:sz w:val="24"/>
                <w:szCs w:val="24"/>
              </w:rPr>
              <w:t>3</w:t>
            </w:r>
          </w:p>
        </w:tc>
        <w:tc>
          <w:tcPr>
            <w:tcW w:w="3400" w:type="pct"/>
            <w:shd w:val="clear" w:color="auto" w:fill="auto"/>
            <w:vAlign w:val="center"/>
          </w:tcPr>
          <w:p w14:paraId="0077FA35">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为了保证南通市图书馆的业务系统正常稳定运行，在出现故障时服务商需要具有高效及时的响应服务能力，本次磋商响应时需要提供详细的售后技术支持人员姓名、联系方式等信息，同时承诺：提供7*24小时响应服务，在采购人系统发生故障时随时响应。出现紧急事件及核心设备故障时应具备人员现场应急响应的服务能力，在接到故障报修后1小时内到场响应得3分，1-2小时内到场响应得2分，2-3小时内到场响应得1分，其余不得分。</w:t>
            </w:r>
            <w:r>
              <w:rPr>
                <w:rFonts w:hint="eastAsia" w:ascii="宋体" w:hAnsi="宋体" w:cs="宋体"/>
                <w:kern w:val="0"/>
                <w:sz w:val="24"/>
                <w:szCs w:val="24"/>
              </w:rPr>
              <w:br w:type="textWrapping"/>
            </w:r>
            <w:r>
              <w:rPr>
                <w:rFonts w:hint="eastAsia" w:ascii="宋体" w:hAnsi="宋体" w:cs="宋体"/>
                <w:kern w:val="0"/>
                <w:sz w:val="24"/>
                <w:szCs w:val="24"/>
              </w:rPr>
              <w:t>注：需提供书面承诺（格式自拟）及服务人员姓名、联系方式,并加盖供应商公章，未提供不得分或</w:t>
            </w:r>
            <w:r>
              <w:rPr>
                <w:rFonts w:ascii="宋体" w:hAnsi="宋体" w:cs="宋体"/>
                <w:kern w:val="0"/>
                <w:sz w:val="24"/>
                <w:szCs w:val="24"/>
              </w:rPr>
              <w:t>提供不全的不得分</w:t>
            </w:r>
            <w:r>
              <w:rPr>
                <w:rFonts w:hint="eastAsia" w:ascii="宋体" w:hAnsi="宋体" w:cs="宋体"/>
                <w:kern w:val="0"/>
                <w:sz w:val="24"/>
                <w:szCs w:val="24"/>
              </w:rPr>
              <w:t>。</w:t>
            </w:r>
          </w:p>
        </w:tc>
      </w:tr>
      <w:tr w14:paraId="30770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385" w:type="pct"/>
            <w:shd w:val="clear" w:color="auto" w:fill="auto"/>
            <w:vAlign w:val="center"/>
          </w:tcPr>
          <w:p w14:paraId="7813A922">
            <w:pPr>
              <w:widowControl/>
              <w:jc w:val="center"/>
              <w:rPr>
                <w:rFonts w:hint="eastAsia" w:ascii="宋体" w:hAnsi="宋体" w:cs="宋体"/>
                <w:kern w:val="0"/>
                <w:sz w:val="24"/>
                <w:szCs w:val="24"/>
              </w:rPr>
            </w:pPr>
            <w:r>
              <w:rPr>
                <w:rFonts w:hint="eastAsia" w:ascii="宋体" w:hAnsi="宋体" w:cs="宋体"/>
                <w:kern w:val="0"/>
                <w:sz w:val="24"/>
                <w:szCs w:val="24"/>
              </w:rPr>
              <w:t>7</w:t>
            </w:r>
          </w:p>
        </w:tc>
        <w:tc>
          <w:tcPr>
            <w:tcW w:w="810" w:type="pct"/>
            <w:shd w:val="clear" w:color="auto" w:fill="auto"/>
            <w:vAlign w:val="center"/>
          </w:tcPr>
          <w:p w14:paraId="254C6AB6">
            <w:pPr>
              <w:widowControl/>
              <w:jc w:val="center"/>
              <w:rPr>
                <w:rFonts w:hint="eastAsia" w:ascii="宋体" w:hAnsi="宋体" w:cs="宋体"/>
                <w:kern w:val="0"/>
                <w:sz w:val="24"/>
                <w:szCs w:val="24"/>
              </w:rPr>
            </w:pPr>
            <w:r>
              <w:rPr>
                <w:rFonts w:hint="eastAsia" w:ascii="宋体" w:hAnsi="宋体" w:cs="宋体"/>
                <w:kern w:val="0"/>
                <w:sz w:val="24"/>
                <w:szCs w:val="24"/>
              </w:rPr>
              <w:t>业绩</w:t>
            </w:r>
          </w:p>
        </w:tc>
        <w:tc>
          <w:tcPr>
            <w:tcW w:w="405" w:type="pct"/>
            <w:shd w:val="clear" w:color="000000" w:fill="FFFFFF"/>
            <w:vAlign w:val="center"/>
          </w:tcPr>
          <w:p w14:paraId="7FA692D1">
            <w:pPr>
              <w:widowControl/>
              <w:jc w:val="center"/>
              <w:rPr>
                <w:rFonts w:hint="eastAsia" w:ascii="宋体" w:hAnsi="宋体" w:cs="宋体"/>
                <w:kern w:val="0"/>
                <w:sz w:val="24"/>
                <w:szCs w:val="24"/>
              </w:rPr>
            </w:pPr>
            <w:r>
              <w:rPr>
                <w:rFonts w:hint="eastAsia" w:ascii="宋体" w:hAnsi="宋体" w:cs="宋体"/>
                <w:kern w:val="0"/>
                <w:sz w:val="24"/>
                <w:szCs w:val="24"/>
              </w:rPr>
              <w:t>4</w:t>
            </w:r>
          </w:p>
        </w:tc>
        <w:tc>
          <w:tcPr>
            <w:tcW w:w="3400" w:type="pct"/>
            <w:shd w:val="clear" w:color="auto" w:fill="auto"/>
            <w:vAlign w:val="center"/>
          </w:tcPr>
          <w:p w14:paraId="345B5FCD">
            <w:pPr>
              <w:widowControl/>
              <w:spacing w:line="360" w:lineRule="exact"/>
              <w:jc w:val="left"/>
              <w:rPr>
                <w:rFonts w:hint="eastAsia" w:ascii="宋体" w:hAnsi="宋体" w:cs="宋体"/>
                <w:kern w:val="0"/>
                <w:sz w:val="24"/>
                <w:szCs w:val="24"/>
              </w:rPr>
            </w:pPr>
            <w:r>
              <w:rPr>
                <w:rFonts w:hint="eastAsia" w:ascii="宋体" w:hAnsi="宋体" w:cs="宋体"/>
                <w:kern w:val="0"/>
                <w:sz w:val="24"/>
                <w:szCs w:val="24"/>
              </w:rPr>
              <w:t>磋商响应供应商提供自2021年（以合同签订时间为准）以来与本次项目相</w:t>
            </w:r>
            <w:r>
              <w:rPr>
                <w:rFonts w:ascii="宋体" w:hAnsi="宋体" w:cs="宋体"/>
                <w:kern w:val="0"/>
                <w:sz w:val="24"/>
                <w:szCs w:val="24"/>
              </w:rPr>
              <w:t>类似的数据中心维保服务</w:t>
            </w:r>
            <w:r>
              <w:rPr>
                <w:rFonts w:hint="eastAsia" w:ascii="宋体" w:hAnsi="宋体" w:cs="宋体"/>
                <w:kern w:val="0"/>
                <w:sz w:val="24"/>
                <w:szCs w:val="24"/>
              </w:rPr>
              <w:t>的业绩案例。每提供一份案例得1分，最高不超过4分。须提供合同的复印件或扫描打印件，并加盖磋商响应供应商公章。</w:t>
            </w:r>
            <w:r>
              <w:rPr>
                <w:rFonts w:hint="eastAsia" w:ascii="宋体" w:hAnsi="宋体" w:cs="宋体"/>
                <w:kern w:val="0"/>
                <w:sz w:val="24"/>
                <w:szCs w:val="24"/>
              </w:rPr>
              <w:br w:type="textWrapping"/>
            </w:r>
            <w:r>
              <w:rPr>
                <w:rFonts w:hint="eastAsia" w:ascii="宋体" w:hAnsi="宋体" w:cs="宋体"/>
                <w:kern w:val="0"/>
                <w:sz w:val="24"/>
                <w:szCs w:val="24"/>
              </w:rPr>
              <w:t>未提供不得分，同一业主相</w:t>
            </w:r>
            <w:r>
              <w:rPr>
                <w:rFonts w:ascii="宋体" w:hAnsi="宋体" w:cs="宋体"/>
                <w:kern w:val="0"/>
                <w:sz w:val="24"/>
                <w:szCs w:val="24"/>
              </w:rPr>
              <w:t>同维保服务</w:t>
            </w:r>
            <w:r>
              <w:rPr>
                <w:rFonts w:hint="eastAsia" w:ascii="宋体" w:hAnsi="宋体" w:cs="宋体"/>
                <w:kern w:val="0"/>
                <w:sz w:val="24"/>
                <w:szCs w:val="24"/>
              </w:rPr>
              <w:t>内</w:t>
            </w:r>
            <w:r>
              <w:rPr>
                <w:rFonts w:ascii="宋体" w:hAnsi="宋体" w:cs="宋体"/>
                <w:kern w:val="0"/>
                <w:sz w:val="24"/>
                <w:szCs w:val="24"/>
              </w:rPr>
              <w:t>容的</w:t>
            </w:r>
            <w:r>
              <w:rPr>
                <w:rFonts w:hint="eastAsia" w:ascii="宋体" w:hAnsi="宋体" w:cs="宋体"/>
                <w:kern w:val="0"/>
                <w:sz w:val="24"/>
                <w:szCs w:val="24"/>
              </w:rPr>
              <w:t>业绩不得重复得分。</w:t>
            </w:r>
          </w:p>
        </w:tc>
      </w:tr>
    </w:tbl>
    <w:p w14:paraId="61AD846D">
      <w:pPr>
        <w:adjustRightInd w:val="0"/>
        <w:snapToGrid w:val="0"/>
        <w:spacing w:line="360" w:lineRule="auto"/>
        <w:ind w:firstLine="482" w:firstLineChars="200"/>
        <w:rPr>
          <w:rFonts w:ascii="宋体" w:cs="宋体"/>
          <w:b/>
          <w:sz w:val="24"/>
          <w:szCs w:val="24"/>
        </w:rPr>
      </w:pPr>
      <w:r>
        <w:rPr>
          <w:rFonts w:hint="eastAsia" w:ascii="宋体" w:hAnsi="宋体" w:cs="宋体"/>
          <w:b/>
          <w:sz w:val="24"/>
          <w:szCs w:val="24"/>
        </w:rPr>
        <w:t>（二）报价响应评分：（30分）</w:t>
      </w:r>
    </w:p>
    <w:p w14:paraId="58BE2A2E">
      <w:pPr>
        <w:snapToGrid w:val="0"/>
        <w:spacing w:line="360" w:lineRule="auto"/>
        <w:ind w:firstLine="482" w:firstLineChars="200"/>
        <w:rPr>
          <w:rFonts w:hint="eastAsia" w:ascii="宋体" w:hAnsi="宋体" w:cs="宋体"/>
          <w:sz w:val="24"/>
          <w:szCs w:val="24"/>
        </w:rPr>
      </w:pPr>
      <w:bookmarkStart w:id="83" w:name="_Hlk69391943"/>
      <w:r>
        <w:rPr>
          <w:rFonts w:hint="eastAsia" w:ascii="宋体" w:hAnsi="宋体" w:cs="宋体"/>
          <w:b/>
          <w:bCs/>
          <w:sz w:val="24"/>
          <w:szCs w:val="24"/>
        </w:rPr>
        <w:t>1、</w:t>
      </w:r>
      <w:r>
        <w:rPr>
          <w:rFonts w:hint="eastAsia" w:ascii="宋体" w:hAnsi="宋体" w:cs="宋体"/>
          <w:sz w:val="24"/>
          <w:szCs w:val="24"/>
        </w:rPr>
        <w:t>价格分统一采用低价优先法计算，即满足磋商文件要求且最终磋商报价最低的投标报价为评标基准价，其价格分为满分30分。</w:t>
      </w:r>
    </w:p>
    <w:p w14:paraId="126505B9">
      <w:pPr>
        <w:snapToGrid w:val="0"/>
        <w:spacing w:line="360" w:lineRule="auto"/>
        <w:ind w:firstLine="482" w:firstLineChars="200"/>
        <w:rPr>
          <w:rFonts w:hint="eastAsia" w:ascii="宋体" w:hAnsi="宋体" w:cs="宋体"/>
          <w:sz w:val="24"/>
          <w:szCs w:val="24"/>
        </w:rPr>
      </w:pPr>
      <w:r>
        <w:rPr>
          <w:rFonts w:hint="eastAsia" w:ascii="宋体" w:hAnsi="宋体" w:cs="宋体"/>
          <w:b/>
          <w:bCs/>
          <w:sz w:val="24"/>
          <w:szCs w:val="24"/>
        </w:rPr>
        <w:t>2、其他投标供应商的报价分统一按照下列公式计算</w:t>
      </w:r>
      <w:r>
        <w:rPr>
          <w:rFonts w:hint="eastAsia" w:ascii="宋体" w:hAnsi="宋体" w:cs="宋体"/>
          <w:sz w:val="24"/>
          <w:szCs w:val="24"/>
        </w:rPr>
        <w:t>：</w:t>
      </w:r>
    </w:p>
    <w:p w14:paraId="489949F9">
      <w:pPr>
        <w:snapToGrid w:val="0"/>
        <w:spacing w:line="360" w:lineRule="auto"/>
        <w:ind w:firstLine="570"/>
        <w:rPr>
          <w:rFonts w:hint="eastAsia" w:ascii="宋体" w:hAnsi="宋体" w:cs="仿宋"/>
          <w:b/>
          <w:sz w:val="24"/>
          <w:szCs w:val="24"/>
        </w:rPr>
      </w:pPr>
      <w:r>
        <w:rPr>
          <w:rFonts w:hint="eastAsia" w:ascii="宋体" w:hAnsi="宋体" w:cs="仿宋"/>
          <w:b/>
          <w:sz w:val="24"/>
          <w:szCs w:val="24"/>
        </w:rPr>
        <w:t>报价得分=（评标基准价/最终磋商报价）×30</w:t>
      </w:r>
    </w:p>
    <w:p w14:paraId="3BB79F0A">
      <w:pPr>
        <w:snapToGrid w:val="0"/>
        <w:spacing w:line="360" w:lineRule="auto"/>
        <w:ind w:firstLine="57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（三）定标：商务报价标得分加技术标得分之和为各投标供应商的综合得分，综合得分最高者为成交第一候选人。</w:t>
      </w:r>
    </w:p>
    <w:p w14:paraId="0E5D0459">
      <w:pPr>
        <w:snapToGrid w:val="0"/>
        <w:spacing w:line="360" w:lineRule="auto"/>
        <w:ind w:firstLine="57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本项目授权评审小组确定成交供应商。</w:t>
      </w:r>
    </w:p>
    <w:bookmarkEnd w:id="83"/>
    <w:p w14:paraId="217C8946">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七、出现下列情形之一的，作无效响应处理</w:t>
      </w:r>
    </w:p>
    <w:p w14:paraId="41AB0C16">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、响应文件未按磋商文件要求装订、密封、签署、盖章及主要资料不齐全的；</w:t>
      </w:r>
    </w:p>
    <w:p w14:paraId="59FB70AC">
      <w:pPr>
        <w:snapToGrid w:val="0"/>
        <w:spacing w:line="360" w:lineRule="auto"/>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、响应文件的资料有虚报或者谎报的；</w:t>
      </w:r>
    </w:p>
    <w:p w14:paraId="1E1E57AB">
      <w:pPr>
        <w:snapToGrid w:val="0"/>
        <w:spacing w:line="360" w:lineRule="auto"/>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、响应文件中资格审查文件及技术响应文件出现磋商报价的内容；</w:t>
      </w:r>
    </w:p>
    <w:p w14:paraId="0D160527">
      <w:pPr>
        <w:snapToGrid w:val="0"/>
        <w:spacing w:line="360" w:lineRule="auto"/>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、不具备磋商文件规定的资格要求的；</w:t>
      </w:r>
    </w:p>
    <w:p w14:paraId="20D06E54">
      <w:pPr>
        <w:snapToGrid w:val="0"/>
        <w:spacing w:line="360" w:lineRule="auto"/>
        <w:ind w:firstLine="480" w:firstLineChars="200"/>
        <w:rPr>
          <w:rFonts w:ascii="宋体" w:cs="宋体"/>
          <w:sz w:val="24"/>
          <w:szCs w:val="24"/>
        </w:rPr>
      </w:pPr>
      <w:r>
        <w:rPr>
          <w:rFonts w:ascii="宋体" w:hAnsi="宋体" w:cs="宋体"/>
          <w:sz w:val="24"/>
          <w:szCs w:val="24"/>
        </w:rPr>
        <w:t>5</w:t>
      </w:r>
      <w:r>
        <w:rPr>
          <w:rFonts w:hint="eastAsia" w:ascii="宋体" w:hAnsi="宋体" w:cs="宋体"/>
          <w:sz w:val="24"/>
          <w:szCs w:val="24"/>
        </w:rPr>
        <w:t>、响应文件有重大漏项或重大不合理的；</w:t>
      </w:r>
    </w:p>
    <w:p w14:paraId="77255917">
      <w:pPr>
        <w:snapToGrid w:val="0"/>
        <w:spacing w:line="360" w:lineRule="auto"/>
        <w:ind w:firstLine="480" w:firstLineChars="200"/>
        <w:rPr>
          <w:rFonts w:ascii="宋体" w:cs="宋体"/>
          <w:sz w:val="24"/>
          <w:szCs w:val="24"/>
        </w:rPr>
      </w:pPr>
      <w:r>
        <w:rPr>
          <w:rFonts w:ascii="宋体" w:hAnsi="宋体" w:cs="宋体"/>
          <w:sz w:val="24"/>
          <w:szCs w:val="24"/>
        </w:rPr>
        <w:t>6</w:t>
      </w:r>
      <w:r>
        <w:rPr>
          <w:rFonts w:hint="eastAsia" w:ascii="宋体" w:hAnsi="宋体" w:cs="宋体"/>
          <w:sz w:val="24"/>
          <w:szCs w:val="24"/>
        </w:rPr>
        <w:t>、项目技术、方案不满足项目需求中的要求，有重大偏离或保留的；</w:t>
      </w:r>
    </w:p>
    <w:p w14:paraId="6ED7B99E">
      <w:pPr>
        <w:snapToGrid w:val="0"/>
        <w:spacing w:line="360" w:lineRule="auto"/>
        <w:ind w:firstLine="480" w:firstLineChars="200"/>
        <w:rPr>
          <w:rFonts w:ascii="宋体" w:cs="宋体"/>
          <w:sz w:val="24"/>
          <w:szCs w:val="24"/>
        </w:rPr>
      </w:pPr>
      <w:r>
        <w:rPr>
          <w:rFonts w:ascii="宋体" w:hAnsi="宋体" w:cs="宋体"/>
          <w:sz w:val="24"/>
          <w:szCs w:val="24"/>
        </w:rPr>
        <w:t>7</w:t>
      </w:r>
      <w:r>
        <w:rPr>
          <w:rFonts w:hint="eastAsia" w:ascii="宋体" w:hAnsi="宋体" w:cs="宋体"/>
          <w:sz w:val="24"/>
          <w:szCs w:val="24"/>
        </w:rPr>
        <w:t>、磋商响应报价超出项目预算或最高限价的；</w:t>
      </w:r>
    </w:p>
    <w:p w14:paraId="64F8E2C0">
      <w:pPr>
        <w:snapToGrid w:val="0"/>
        <w:spacing w:line="360" w:lineRule="auto"/>
        <w:ind w:firstLine="480" w:firstLineChars="200"/>
        <w:rPr>
          <w:rFonts w:ascii="宋体" w:cs="宋体"/>
          <w:sz w:val="24"/>
          <w:szCs w:val="24"/>
        </w:rPr>
      </w:pPr>
      <w:r>
        <w:rPr>
          <w:rFonts w:ascii="宋体" w:hAnsi="宋体" w:cs="宋体"/>
          <w:sz w:val="24"/>
          <w:szCs w:val="24"/>
        </w:rPr>
        <w:t>8</w:t>
      </w:r>
      <w:r>
        <w:rPr>
          <w:rFonts w:hint="eastAsia" w:ascii="宋体" w:hAnsi="宋体" w:cs="宋体"/>
          <w:sz w:val="24"/>
          <w:szCs w:val="24"/>
        </w:rPr>
        <w:t>、被认定为低于成本报价磋商竞标的；</w:t>
      </w:r>
    </w:p>
    <w:p w14:paraId="3B1FBF6F">
      <w:pPr>
        <w:snapToGrid w:val="0"/>
        <w:spacing w:line="360" w:lineRule="auto"/>
        <w:ind w:firstLine="480" w:firstLineChars="200"/>
        <w:rPr>
          <w:rFonts w:hint="eastAsia" w:ascii="宋体" w:hAnsi="宋体" w:cs="宋体"/>
          <w:sz w:val="24"/>
          <w:szCs w:val="24"/>
        </w:rPr>
      </w:pPr>
      <w:r>
        <w:rPr>
          <w:rFonts w:ascii="宋体" w:hAnsi="宋体" w:cs="宋体"/>
          <w:sz w:val="24"/>
          <w:szCs w:val="24"/>
        </w:rPr>
        <w:t>9</w:t>
      </w:r>
      <w:r>
        <w:rPr>
          <w:rFonts w:hint="eastAsia" w:ascii="宋体" w:hAnsi="宋体" w:cs="宋体"/>
          <w:sz w:val="24"/>
          <w:szCs w:val="24"/>
        </w:rPr>
        <w:t>、供应商的磋商报价高于自己前一轮的；</w:t>
      </w:r>
    </w:p>
    <w:p w14:paraId="4BFFDD71">
      <w:pPr>
        <w:snapToGrid w:val="0"/>
        <w:spacing w:line="360" w:lineRule="auto"/>
        <w:ind w:firstLine="480" w:firstLineChars="200"/>
        <w:rPr>
          <w:rFonts w:ascii="宋体" w:cs="宋体"/>
          <w:sz w:val="24"/>
          <w:szCs w:val="24"/>
        </w:rPr>
      </w:pPr>
      <w:r>
        <w:rPr>
          <w:rFonts w:hint="eastAsia" w:ascii="宋体" w:hAnsi="宋体" w:cs="宋体"/>
          <w:sz w:val="24"/>
          <w:szCs w:val="24"/>
        </w:rPr>
        <w:t>10、</w:t>
      </w:r>
      <w:r>
        <w:rPr>
          <w:rFonts w:hint="eastAsia" w:cs="宋体" w:asciiTheme="majorEastAsia" w:hAnsiTheme="majorEastAsia" w:eastAsiaTheme="majorEastAsia"/>
          <w:kern w:val="0"/>
          <w:sz w:val="24"/>
          <w:szCs w:val="24"/>
        </w:rPr>
        <w:t>被“信用中国”网站（www.creditchina.gov.cn）列入失信被执行人、重大税收违法失信主体名单、政府采购严重违法失信行为记录名单；</w:t>
      </w:r>
    </w:p>
    <w:p w14:paraId="31DF02E8">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1、不符合法律、法规和磋商文件中规定的其他实质性响应要求的；</w:t>
      </w:r>
    </w:p>
    <w:p w14:paraId="537F435D">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2、磋商小组依据法律法规可以认定为无效投标的其他情况。</w:t>
      </w:r>
    </w:p>
    <w:p w14:paraId="544832C2">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八、出现下列情形之一的，作废标处理</w:t>
      </w:r>
    </w:p>
    <w:p w14:paraId="70D00C7F">
      <w:pPr>
        <w:snapToGrid w:val="0"/>
        <w:spacing w:line="360"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、供应商的报价均超出了采购预算，采购单位不能支付的；</w:t>
      </w:r>
    </w:p>
    <w:p w14:paraId="787C6409">
      <w:pPr>
        <w:snapToGrid w:val="0"/>
        <w:spacing w:line="360" w:lineRule="auto"/>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、因情况变化，不再符合规定的竞争性磋商采购方式所适用情形的；</w:t>
      </w:r>
    </w:p>
    <w:p w14:paraId="5716AFDE">
      <w:pPr>
        <w:snapToGrid w:val="0"/>
        <w:spacing w:line="360" w:lineRule="auto"/>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、出现影响采购公正的违法、违规行为的；</w:t>
      </w:r>
    </w:p>
    <w:p w14:paraId="1C65C891">
      <w:pPr>
        <w:snapToGrid w:val="0"/>
        <w:spacing w:line="360" w:lineRule="auto"/>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、因重大变故，采购任务取消的；</w:t>
      </w:r>
    </w:p>
    <w:p w14:paraId="07CC3241">
      <w:pPr>
        <w:snapToGrid w:val="0"/>
        <w:spacing w:line="360" w:lineRule="auto"/>
        <w:ind w:firstLine="480" w:firstLineChars="200"/>
        <w:rPr>
          <w:rFonts w:ascii="宋体"/>
          <w:sz w:val="24"/>
          <w:szCs w:val="24"/>
        </w:rPr>
      </w:pPr>
      <w:r>
        <w:rPr>
          <w:rFonts w:hint="eastAsia" w:ascii="宋体" w:hAnsi="宋体" w:cs="宋体"/>
          <w:sz w:val="24"/>
          <w:szCs w:val="24"/>
        </w:rPr>
        <w:t>5、符合资格条件或者对磋商文件作实质响应的投标供应商不足</w:t>
      </w:r>
      <w:r>
        <w:rPr>
          <w:rFonts w:ascii="宋体" w:hAnsi="宋体" w:cs="宋体"/>
          <w:sz w:val="24"/>
          <w:szCs w:val="24"/>
        </w:rPr>
        <w:t>3</w:t>
      </w:r>
      <w:r>
        <w:rPr>
          <w:rFonts w:hint="eastAsia" w:ascii="宋体" w:hAnsi="宋体" w:cs="宋体"/>
          <w:sz w:val="24"/>
          <w:szCs w:val="24"/>
        </w:rPr>
        <w:t>家的；</w:t>
      </w:r>
    </w:p>
    <w:p w14:paraId="3FB09758">
      <w:pPr>
        <w:snapToGrid w:val="0"/>
        <w:spacing w:line="360" w:lineRule="auto"/>
        <w:ind w:firstLine="480" w:firstLineChars="200"/>
        <w:rPr>
          <w:rFonts w:ascii="宋体" w:cs="宋体"/>
          <w:sz w:val="24"/>
          <w:szCs w:val="24"/>
        </w:rPr>
      </w:pPr>
      <w:r>
        <w:rPr>
          <w:rFonts w:hint="eastAsia" w:ascii="宋体" w:hAnsi="宋体" w:cs="宋体"/>
          <w:sz w:val="24"/>
          <w:szCs w:val="24"/>
        </w:rPr>
        <w:t>6、磋商小组依据法律法规可以认定为废标的其他情况。</w:t>
      </w:r>
    </w:p>
    <w:p w14:paraId="74AAD97E">
      <w:pPr>
        <w:snapToGrid w:val="0"/>
        <w:spacing w:line="360" w:lineRule="auto"/>
        <w:ind w:firstLine="482" w:firstLineChars="200"/>
        <w:outlineLvl w:val="1"/>
        <w:rPr>
          <w:rFonts w:ascii="宋体" w:cs="宋体"/>
          <w:b/>
          <w:sz w:val="24"/>
          <w:szCs w:val="24"/>
        </w:rPr>
      </w:pPr>
      <w:r>
        <w:rPr>
          <w:rFonts w:hint="eastAsia" w:ascii="宋体" w:hAnsi="宋体" w:cs="宋体"/>
          <w:b/>
          <w:sz w:val="24"/>
          <w:szCs w:val="24"/>
        </w:rPr>
        <w:t>九、成交通知</w:t>
      </w:r>
    </w:p>
    <w:bookmarkEnd w:id="70"/>
    <w:bookmarkEnd w:id="71"/>
    <w:bookmarkEnd w:id="72"/>
    <w:bookmarkEnd w:id="73"/>
    <w:bookmarkEnd w:id="74"/>
    <w:bookmarkEnd w:id="75"/>
    <w:bookmarkEnd w:id="76"/>
    <w:bookmarkEnd w:id="77"/>
    <w:p w14:paraId="59669E66">
      <w:pPr>
        <w:widowControl/>
        <w:shd w:val="clear" w:color="auto" w:fill="FFFFFF"/>
        <w:spacing w:line="360" w:lineRule="auto"/>
        <w:ind w:firstLine="480" w:firstLineChars="200"/>
        <w:jc w:val="left"/>
        <w:rPr>
          <w:rFonts w:hint="eastAsia" w:cs="Arial" w:asciiTheme="majorEastAsia" w:hAnsiTheme="majorEastAsia" w:eastAsiaTheme="majorEastAsia"/>
          <w:kern w:val="0"/>
          <w:sz w:val="24"/>
          <w:szCs w:val="24"/>
        </w:rPr>
      </w:pPr>
      <w:bookmarkStart w:id="84" w:name="_Toc363573858"/>
      <w:bookmarkStart w:id="85" w:name="_Toc94585343"/>
      <w:r>
        <w:rPr>
          <w:rFonts w:hint="eastAsia"/>
          <w:kern w:val="0"/>
          <w:sz w:val="24"/>
          <w:szCs w:val="24"/>
        </w:rPr>
        <w:t>成交结果在</w:t>
      </w:r>
      <w:r>
        <w:rPr>
          <w:rFonts w:ascii="宋体" w:hAnsi="宋体" w:cs="宋体"/>
          <w:sz w:val="24"/>
          <w:szCs w:val="24"/>
        </w:rPr>
        <w:t xml:space="preserve"> </w:t>
      </w:r>
      <w:r>
        <w:rPr>
          <w:rFonts w:hint="eastAsia" w:ascii="宋体" w:hAnsi="宋体" w:cs="宋体"/>
          <w:sz w:val="24"/>
          <w:szCs w:val="24"/>
        </w:rPr>
        <w:t>南通市图书馆-资讯-通图公告栏、</w:t>
      </w:r>
      <w:r>
        <w:rPr>
          <w:rFonts w:hint="eastAsia" w:asciiTheme="minorEastAsia" w:hAnsiTheme="minorEastAsia" w:eastAsiaTheme="minorEastAsia"/>
          <w:sz w:val="24"/>
          <w:szCs w:val="24"/>
        </w:rPr>
        <w:t>南通市文化广电和旅游局-政府采购栏</w:t>
      </w:r>
      <w:r>
        <w:rPr>
          <w:rFonts w:hint="eastAsia"/>
          <w:kern w:val="0"/>
          <w:sz w:val="24"/>
          <w:szCs w:val="24"/>
        </w:rPr>
        <w:t>公示</w:t>
      </w:r>
      <w:r>
        <w:rPr>
          <w:kern w:val="0"/>
          <w:sz w:val="24"/>
          <w:szCs w:val="24"/>
          <w:u w:val="single"/>
        </w:rPr>
        <w:t xml:space="preserve"> 1 </w:t>
      </w:r>
      <w:r>
        <w:rPr>
          <w:rFonts w:hint="eastAsia"/>
          <w:kern w:val="0"/>
          <w:sz w:val="24"/>
          <w:szCs w:val="24"/>
        </w:rPr>
        <w:t>个工作日。《成交通知书》一经发出，采购单位改变成交结果，或者供应商放弃成交的，各自承担相应的法律责任。《成交通知书》是采购合同的组成部分。</w:t>
      </w:r>
    </w:p>
    <w:p w14:paraId="50D790FC"/>
    <w:p w14:paraId="78E1FCE5">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10AFC5DF">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4246A60C">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2B5CF061">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277E80CC">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3B1FD77E">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4F9ADE41">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034D4985">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470A27FE">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BAD0959">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84C9683">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5D37111B">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249819C5">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7A214FB0">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AFB0AD2">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3BDB0C1B">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5D6C3E59">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1CA0D4AB">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10B7305"/>
    <w:p w14:paraId="0F486AED">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83AACFC">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2E0B23CD">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7C694AA8">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6E621167">
      <w:pPr>
        <w:pStyle w:val="27"/>
        <w:tabs>
          <w:tab w:val="left" w:pos="1050"/>
          <w:tab w:val="right" w:leader="dot" w:pos="9402"/>
        </w:tabs>
        <w:spacing w:line="520" w:lineRule="exact"/>
        <w:ind w:left="0"/>
        <w:jc w:val="center"/>
        <w:outlineLvl w:val="0"/>
        <w:rPr>
          <w:rFonts w:hint="eastAsia" w:ascii="宋体" w:hAnsi="宋体" w:cs="宋体"/>
          <w:b/>
          <w:i w:val="0"/>
          <w:iCs/>
          <w:w w:val="80"/>
          <w:sz w:val="44"/>
          <w:szCs w:val="44"/>
        </w:rPr>
      </w:pPr>
    </w:p>
    <w:p w14:paraId="43429EB8">
      <w:pPr>
        <w:pStyle w:val="27"/>
        <w:tabs>
          <w:tab w:val="left" w:pos="1050"/>
          <w:tab w:val="right" w:leader="dot" w:pos="9402"/>
        </w:tabs>
        <w:spacing w:line="520" w:lineRule="exact"/>
        <w:ind w:left="0"/>
        <w:jc w:val="center"/>
        <w:outlineLvl w:val="0"/>
        <w:rPr>
          <w:rFonts w:ascii="宋体" w:cs="宋体"/>
          <w:b/>
          <w:i w:val="0"/>
          <w:iCs/>
          <w:w w:val="80"/>
          <w:sz w:val="44"/>
          <w:szCs w:val="44"/>
        </w:rPr>
      </w:pPr>
      <w:r>
        <w:rPr>
          <w:rFonts w:hint="eastAsia" w:ascii="宋体" w:hAnsi="宋体" w:cs="宋体"/>
          <w:b/>
          <w:i w:val="0"/>
          <w:iCs/>
          <w:w w:val="80"/>
          <w:sz w:val="44"/>
          <w:szCs w:val="44"/>
        </w:rPr>
        <w:t>第五章</w:t>
      </w:r>
      <w:r>
        <w:rPr>
          <w:rFonts w:ascii="宋体" w:hAnsi="宋体" w:cs="宋体"/>
          <w:b/>
          <w:i w:val="0"/>
          <w:iCs/>
          <w:w w:val="80"/>
          <w:sz w:val="44"/>
          <w:szCs w:val="44"/>
        </w:rPr>
        <w:t xml:space="preserve">   </w:t>
      </w:r>
      <w:r>
        <w:rPr>
          <w:rFonts w:hint="eastAsia" w:ascii="宋体" w:hAnsi="宋体" w:cs="宋体"/>
          <w:b/>
          <w:i w:val="0"/>
          <w:iCs/>
          <w:w w:val="80"/>
          <w:sz w:val="44"/>
          <w:szCs w:val="44"/>
        </w:rPr>
        <w:t>合同签订与验收付款</w:t>
      </w:r>
    </w:p>
    <w:p w14:paraId="6DCFCDE3">
      <w:pPr>
        <w:spacing w:line="360" w:lineRule="auto"/>
        <w:ind w:firstLine="484" w:firstLineChars="202"/>
        <w:rPr>
          <w:rFonts w:ascii="宋体" w:cs="宋体"/>
          <w:kern w:val="0"/>
          <w:sz w:val="28"/>
          <w:szCs w:val="28"/>
        </w:rPr>
      </w:pPr>
      <w:r>
        <w:rPr>
          <w:rFonts w:hint="eastAsia" w:ascii="宋体" w:hAnsi="宋体" w:cs="宋体"/>
          <w:sz w:val="24"/>
          <w:szCs w:val="24"/>
        </w:rPr>
        <w:t>一、</w:t>
      </w:r>
      <w:r>
        <w:rPr>
          <w:rFonts w:hint="eastAsia" w:ascii="宋体" w:hAnsi="宋体" w:cs="宋体"/>
          <w:kern w:val="0"/>
          <w:sz w:val="24"/>
          <w:szCs w:val="24"/>
        </w:rPr>
        <w:t>成交供应商在《成交通知书》发出30日内必须按照磋商文件确定的事项签订采购合同。合同一式陆份，采购单位、供应商各叁份。所签合同不得对磋商文件作实质性修改。采购单位不得向成交供应商提出不合理的要求作为签订合同的条件，不得与成交供应商私下订立背离磋商文件实质性内容的协议。</w:t>
      </w:r>
      <w:r>
        <w:rPr>
          <w:rFonts w:ascii="宋体" w:hAnsi="宋体" w:cs="宋体"/>
          <w:kern w:val="0"/>
          <w:sz w:val="24"/>
          <w:szCs w:val="24"/>
        </w:rPr>
        <w:t xml:space="preserve"> </w:t>
      </w:r>
    </w:p>
    <w:p w14:paraId="581A5D86">
      <w:pPr>
        <w:snapToGrid w:val="0"/>
        <w:spacing w:line="360" w:lineRule="auto"/>
        <w:ind w:firstLine="573"/>
        <w:rPr>
          <w:rFonts w:ascii="宋体" w:cs="宋体"/>
          <w:sz w:val="24"/>
          <w:szCs w:val="24"/>
        </w:rPr>
      </w:pPr>
      <w:r>
        <w:rPr>
          <w:rFonts w:hint="eastAsia" w:ascii="宋体" w:hAnsi="宋体" w:cs="宋体"/>
          <w:sz w:val="24"/>
          <w:szCs w:val="24"/>
        </w:rPr>
        <w:t>二、采购单位按合同约定积极配合成交人履约，成交人履约到位后，请以书面形式向采购单位提出验收申请，采购单位接到申请后原则上在</w:t>
      </w:r>
      <w:r>
        <w:rPr>
          <w:rFonts w:ascii="宋体" w:hAnsi="宋体" w:cs="宋体"/>
          <w:sz w:val="24"/>
          <w:szCs w:val="24"/>
        </w:rPr>
        <w:t>5</w:t>
      </w:r>
      <w:r>
        <w:rPr>
          <w:rFonts w:hint="eastAsia" w:ascii="宋体" w:hAnsi="宋体" w:cs="宋体"/>
          <w:sz w:val="24"/>
          <w:szCs w:val="24"/>
        </w:rPr>
        <w:t>个工作日内及时组织相关专业技术人员，必要时邀请质检等部门共同参与验收，并出具验收报告，验收合格的原则上</w:t>
      </w:r>
      <w:r>
        <w:rPr>
          <w:rFonts w:ascii="宋体" w:hAnsi="宋体" w:cs="宋体"/>
          <w:sz w:val="24"/>
          <w:szCs w:val="24"/>
        </w:rPr>
        <w:t>5</w:t>
      </w:r>
      <w:r>
        <w:rPr>
          <w:rFonts w:hint="eastAsia" w:ascii="宋体" w:hAnsi="宋体" w:cs="宋体"/>
          <w:sz w:val="24"/>
          <w:szCs w:val="24"/>
        </w:rPr>
        <w:t>个工作日内支付相应款项。</w:t>
      </w:r>
    </w:p>
    <w:p w14:paraId="0682B26D">
      <w:pPr>
        <w:snapToGrid w:val="0"/>
        <w:spacing w:line="360" w:lineRule="auto"/>
        <w:ind w:firstLine="573"/>
        <w:rPr>
          <w:rFonts w:ascii="宋体" w:cs="宋体"/>
          <w:sz w:val="24"/>
          <w:szCs w:val="24"/>
        </w:rPr>
      </w:pPr>
      <w:r>
        <w:rPr>
          <w:rFonts w:hint="eastAsia" w:ascii="宋体" w:hAnsi="宋体" w:cs="宋体"/>
          <w:sz w:val="24"/>
          <w:szCs w:val="24"/>
        </w:rPr>
        <w:t>三、采购单位故意推迟项目验收时间的，与成交人串通或要求成交人通过减少货物数量或降低服务标准的，在履行合同中采取更改配置、调换物品等手段的，要求成交人出具虚假发票或任意更改销售发票的，谋取不正当利益的，承担相应的法律责任。</w:t>
      </w:r>
    </w:p>
    <w:p w14:paraId="5F03C3C8">
      <w:pPr>
        <w:snapToGrid w:val="0"/>
        <w:spacing w:line="360" w:lineRule="auto"/>
        <w:ind w:firstLine="573"/>
        <w:rPr>
          <w:rFonts w:ascii="宋体" w:cs="宋体"/>
          <w:sz w:val="24"/>
          <w:szCs w:val="24"/>
        </w:rPr>
      </w:pPr>
      <w:r>
        <w:rPr>
          <w:rFonts w:hint="eastAsia" w:ascii="宋体" w:hAnsi="宋体" w:cs="宋体"/>
          <w:sz w:val="24"/>
          <w:szCs w:val="24"/>
        </w:rPr>
        <w:t>四、成交人出现违约情形，应当及时纠正或补偿；造成损失的，按合同约定追究违约责任；发现有假冒、伪劣、走私产品、商业贿赂等违法情形的，应由采购单位移交工商、质监、公安等行政执法部门依法查处。</w:t>
      </w:r>
    </w:p>
    <w:p w14:paraId="2E7AB4BC">
      <w:pPr>
        <w:snapToGrid w:val="0"/>
        <w:spacing w:line="360" w:lineRule="auto"/>
        <w:ind w:firstLine="573"/>
        <w:rPr>
          <w:rFonts w:ascii="宋体" w:cs="宋体"/>
          <w:sz w:val="24"/>
          <w:szCs w:val="24"/>
        </w:rPr>
      </w:pPr>
      <w:r>
        <w:rPr>
          <w:rFonts w:hint="eastAsia" w:ascii="宋体" w:hAnsi="宋体" w:cs="宋体"/>
          <w:sz w:val="24"/>
          <w:szCs w:val="24"/>
        </w:rPr>
        <w:t>五、按采购合同约定支付的货款，实行财政直接支付。</w:t>
      </w:r>
    </w:p>
    <w:p w14:paraId="34746B69">
      <w:pPr>
        <w:snapToGrid w:val="0"/>
        <w:spacing w:line="360" w:lineRule="auto"/>
        <w:ind w:firstLine="573"/>
        <w:rPr>
          <w:rFonts w:ascii="宋体" w:cs="宋体"/>
          <w:sz w:val="24"/>
          <w:szCs w:val="24"/>
        </w:rPr>
      </w:pPr>
      <w:r>
        <w:rPr>
          <w:rFonts w:hint="eastAsia" w:ascii="宋体" w:hAnsi="宋体" w:cs="宋体"/>
          <w:sz w:val="24"/>
          <w:szCs w:val="24"/>
        </w:rPr>
        <w:t>六、不响应付款方式的，视同响应文件无效，按无效响应文件处理。</w:t>
      </w:r>
    </w:p>
    <w:p w14:paraId="7149702F">
      <w:pPr>
        <w:snapToGrid w:val="0"/>
        <w:spacing w:line="360" w:lineRule="auto"/>
        <w:ind w:firstLine="573"/>
        <w:rPr>
          <w:rFonts w:ascii="宋体" w:cs="宋体"/>
          <w:sz w:val="24"/>
          <w:szCs w:val="24"/>
        </w:rPr>
      </w:pPr>
      <w:r>
        <w:rPr>
          <w:rFonts w:hint="eastAsia" w:ascii="宋体" w:hAnsi="宋体" w:cs="宋体"/>
          <w:sz w:val="24"/>
          <w:szCs w:val="24"/>
        </w:rPr>
        <w:t>七、付款方式详见磋商文件第三章。</w:t>
      </w:r>
    </w:p>
    <w:p w14:paraId="2961C17F">
      <w:pPr>
        <w:snapToGrid w:val="0"/>
        <w:spacing w:line="360" w:lineRule="auto"/>
        <w:ind w:firstLine="573"/>
        <w:rPr>
          <w:rFonts w:ascii="宋体" w:cs="宋体"/>
          <w:sz w:val="24"/>
          <w:szCs w:val="24"/>
        </w:rPr>
      </w:pPr>
      <w:r>
        <w:rPr>
          <w:rFonts w:hint="eastAsia" w:ascii="宋体" w:hAnsi="宋体" w:cs="宋体"/>
          <w:sz w:val="24"/>
          <w:szCs w:val="24"/>
        </w:rPr>
        <w:t>八、以上项目款的支付不计息。</w:t>
      </w:r>
    </w:p>
    <w:p w14:paraId="2648F9E2">
      <w:pPr>
        <w:snapToGrid w:val="0"/>
        <w:spacing w:line="480" w:lineRule="exact"/>
        <w:ind w:firstLine="573"/>
        <w:rPr>
          <w:rFonts w:ascii="宋体" w:cs="宋体"/>
          <w:sz w:val="24"/>
          <w:szCs w:val="24"/>
        </w:rPr>
      </w:pPr>
    </w:p>
    <w:p w14:paraId="58A71749">
      <w:pPr>
        <w:snapToGrid w:val="0"/>
        <w:spacing w:line="480" w:lineRule="exact"/>
        <w:ind w:firstLine="573"/>
        <w:rPr>
          <w:rFonts w:ascii="宋体" w:cs="宋体"/>
          <w:sz w:val="24"/>
          <w:szCs w:val="24"/>
        </w:rPr>
      </w:pPr>
    </w:p>
    <w:p w14:paraId="1D35309A">
      <w:pPr>
        <w:snapToGrid w:val="0"/>
        <w:spacing w:line="480" w:lineRule="exact"/>
        <w:ind w:firstLine="573"/>
        <w:rPr>
          <w:rFonts w:ascii="宋体" w:cs="宋体"/>
          <w:sz w:val="24"/>
          <w:szCs w:val="24"/>
        </w:rPr>
      </w:pPr>
    </w:p>
    <w:p w14:paraId="1C9638B3">
      <w:pPr>
        <w:snapToGrid w:val="0"/>
        <w:spacing w:line="480" w:lineRule="exact"/>
        <w:ind w:firstLine="573"/>
        <w:rPr>
          <w:rFonts w:ascii="宋体" w:cs="宋体"/>
          <w:sz w:val="24"/>
          <w:szCs w:val="24"/>
        </w:rPr>
      </w:pPr>
    </w:p>
    <w:p w14:paraId="4A09D9B5">
      <w:pPr>
        <w:snapToGrid w:val="0"/>
        <w:spacing w:line="480" w:lineRule="exact"/>
        <w:ind w:firstLine="573"/>
        <w:rPr>
          <w:rFonts w:ascii="宋体" w:cs="宋体"/>
          <w:sz w:val="24"/>
          <w:szCs w:val="24"/>
        </w:rPr>
      </w:pPr>
    </w:p>
    <w:p w14:paraId="76F1D4CF">
      <w:pPr>
        <w:snapToGrid w:val="0"/>
        <w:spacing w:line="480" w:lineRule="exact"/>
        <w:ind w:firstLine="573"/>
        <w:rPr>
          <w:rFonts w:ascii="宋体" w:cs="宋体"/>
          <w:sz w:val="24"/>
          <w:szCs w:val="24"/>
        </w:rPr>
      </w:pPr>
    </w:p>
    <w:p w14:paraId="367E0428">
      <w:pPr>
        <w:snapToGrid w:val="0"/>
        <w:spacing w:line="480" w:lineRule="exact"/>
        <w:ind w:firstLine="573"/>
        <w:rPr>
          <w:rFonts w:ascii="宋体" w:cs="宋体"/>
          <w:sz w:val="24"/>
          <w:szCs w:val="24"/>
        </w:rPr>
      </w:pPr>
    </w:p>
    <w:p w14:paraId="1B724F38">
      <w:pPr>
        <w:snapToGrid w:val="0"/>
        <w:spacing w:line="480" w:lineRule="exact"/>
        <w:ind w:firstLine="573"/>
        <w:jc w:val="center"/>
        <w:rPr>
          <w:rFonts w:hint="eastAsia" w:ascii="宋体" w:hAnsi="宋体" w:cs="宋体"/>
          <w:b/>
          <w:iCs/>
          <w:w w:val="80"/>
          <w:sz w:val="44"/>
          <w:szCs w:val="44"/>
        </w:rPr>
      </w:pPr>
    </w:p>
    <w:p w14:paraId="0B55E546">
      <w:pPr>
        <w:snapToGrid w:val="0"/>
        <w:spacing w:line="480" w:lineRule="exact"/>
        <w:ind w:firstLine="573"/>
        <w:jc w:val="center"/>
        <w:rPr>
          <w:rFonts w:hint="eastAsia" w:ascii="宋体" w:hAnsi="宋体" w:cs="宋体"/>
          <w:b/>
          <w:iCs/>
          <w:w w:val="80"/>
          <w:sz w:val="44"/>
          <w:szCs w:val="44"/>
        </w:rPr>
      </w:pPr>
    </w:p>
    <w:p w14:paraId="79495E4E">
      <w:pPr>
        <w:snapToGrid w:val="0"/>
        <w:spacing w:line="480" w:lineRule="exact"/>
        <w:ind w:firstLine="573"/>
        <w:jc w:val="center"/>
        <w:rPr>
          <w:rFonts w:hint="eastAsia" w:ascii="宋体" w:hAnsi="宋体" w:cs="宋体"/>
          <w:b/>
          <w:iCs/>
          <w:w w:val="80"/>
          <w:sz w:val="44"/>
          <w:szCs w:val="44"/>
        </w:rPr>
      </w:pPr>
      <w:r>
        <w:rPr>
          <w:rFonts w:hint="eastAsia" w:ascii="宋体" w:hAnsi="宋体" w:cs="宋体"/>
          <w:b/>
          <w:iCs/>
          <w:w w:val="80"/>
          <w:sz w:val="44"/>
          <w:szCs w:val="44"/>
        </w:rPr>
        <w:t>合同主要条款</w:t>
      </w:r>
    </w:p>
    <w:bookmarkEnd w:id="84"/>
    <w:bookmarkEnd w:id="85"/>
    <w:p w14:paraId="0EB3D92A">
      <w:pPr>
        <w:spacing w:line="400" w:lineRule="exact"/>
        <w:rPr>
          <w:rFonts w:hint="eastAsia" w:ascii="宋体" w:hAnsi="宋体"/>
          <w:szCs w:val="21"/>
        </w:rPr>
      </w:pPr>
      <w:bookmarkStart w:id="86" w:name="_Toc363573860"/>
    </w:p>
    <w:p w14:paraId="249ED96E">
      <w:pPr>
        <w:spacing w:line="400" w:lineRule="exact"/>
        <w:rPr>
          <w:rFonts w:hint="eastAsia" w:ascii="宋体" w:hAnsi="宋体"/>
          <w:szCs w:val="21"/>
        </w:rPr>
      </w:pPr>
      <w:r>
        <w:rPr>
          <w:rFonts w:hint="eastAsia" w:ascii="宋体" w:hAnsi="宋体"/>
          <w:szCs w:val="21"/>
        </w:rPr>
        <w:t>采购单位（或称甲方）：</w:t>
      </w:r>
      <w:r>
        <w:rPr>
          <w:rFonts w:hint="eastAsia" w:ascii="宋体" w:hAnsi="宋体"/>
          <w:szCs w:val="21"/>
          <w:u w:val="single"/>
        </w:rPr>
        <w:t>南通市图书馆</w:t>
      </w:r>
    </w:p>
    <w:p w14:paraId="7D081B23">
      <w:pPr>
        <w:spacing w:line="400" w:lineRule="exact"/>
        <w:rPr>
          <w:rFonts w:hint="eastAsia" w:ascii="宋体" w:hAnsi="宋体"/>
          <w:bCs/>
          <w:szCs w:val="21"/>
        </w:rPr>
      </w:pPr>
      <w:r>
        <w:rPr>
          <w:rFonts w:hint="eastAsia" w:ascii="宋体" w:hAnsi="宋体"/>
          <w:szCs w:val="21"/>
        </w:rPr>
        <w:t>成交供应商（或称乙方）：</w:t>
      </w:r>
      <w:r>
        <w:rPr>
          <w:rFonts w:hint="eastAsia" w:ascii="宋体" w:hAnsi="宋体"/>
          <w:szCs w:val="21"/>
          <w:u w:val="single"/>
        </w:rPr>
        <w:t xml:space="preserve">          </w:t>
      </w:r>
    </w:p>
    <w:p w14:paraId="3B06072D">
      <w:pPr>
        <w:spacing w:line="400" w:lineRule="exact"/>
        <w:rPr>
          <w:rFonts w:hint="eastAsia" w:ascii="宋体" w:hAnsi="宋体"/>
          <w:szCs w:val="21"/>
        </w:rPr>
      </w:pPr>
      <w:r>
        <w:rPr>
          <w:rFonts w:hint="eastAsia" w:ascii="宋体" w:hAnsi="宋体"/>
          <w:szCs w:val="21"/>
        </w:rPr>
        <w:t>签订地点：</w:t>
      </w:r>
      <w:r>
        <w:rPr>
          <w:rFonts w:hint="eastAsia" w:ascii="宋体" w:hAnsi="宋体"/>
          <w:szCs w:val="21"/>
          <w:u w:val="single"/>
        </w:rPr>
        <w:t xml:space="preserve">江苏省南通市  </w:t>
      </w:r>
    </w:p>
    <w:p w14:paraId="714E0DC1">
      <w:pPr>
        <w:widowControl/>
        <w:spacing w:line="400" w:lineRule="exact"/>
        <w:ind w:firstLine="420" w:firstLineChars="200"/>
        <w:jc w:val="left"/>
        <w:rPr>
          <w:rFonts w:hint="eastAsia" w:ascii="宋体" w:hAnsi="宋体"/>
          <w:szCs w:val="21"/>
        </w:rPr>
      </w:pPr>
      <w:r>
        <w:rPr>
          <w:rFonts w:hint="eastAsia" w:ascii="宋体" w:hAnsi="宋体"/>
          <w:szCs w:val="21"/>
        </w:rPr>
        <w:t>根据《中华人民共和国民法典》及2025年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 xml:space="preserve"> 日</w:t>
      </w:r>
      <w:r>
        <w:rPr>
          <w:rFonts w:hint="eastAsia" w:ascii="宋体" w:hAnsi="宋体"/>
          <w:szCs w:val="21"/>
          <w:u w:val="single"/>
        </w:rPr>
        <w:t xml:space="preserve"> </w:t>
      </w:r>
      <w:r>
        <w:rPr>
          <w:rFonts w:hint="eastAsia" w:ascii="宋体" w:hAnsi="宋体"/>
          <w:szCs w:val="21"/>
        </w:rPr>
        <w:t>(</w:t>
      </w:r>
      <w:r>
        <w:rPr>
          <w:rFonts w:hint="eastAsia" w:ascii="新宋体" w:hAnsi="新宋体" w:eastAsia="新宋体" w:cs="Arial"/>
        </w:rPr>
        <w:t>项目编号：</w:t>
      </w:r>
      <w:r>
        <w:rPr>
          <w:rFonts w:hint="eastAsia" w:ascii="宋体" w:hAnsi="宋体"/>
          <w:szCs w:val="21"/>
          <w:u w:val="single"/>
        </w:rPr>
        <w:t xml:space="preserve">     </w:t>
      </w:r>
      <w:r>
        <w:rPr>
          <w:rFonts w:hint="eastAsia" w:ascii="宋体" w:hAnsi="宋体"/>
          <w:szCs w:val="21"/>
        </w:rPr>
        <w:t>)的竞争性磋商结果，确认</w:t>
      </w:r>
      <w:r>
        <w:rPr>
          <w:rFonts w:hint="eastAsia" w:ascii="宋体" w:hAnsi="宋体"/>
          <w:szCs w:val="21"/>
          <w:u w:val="single"/>
        </w:rPr>
        <w:t xml:space="preserve">           </w:t>
      </w:r>
      <w:r>
        <w:rPr>
          <w:rFonts w:hint="eastAsia" w:ascii="宋体" w:hAnsi="宋体"/>
          <w:szCs w:val="21"/>
        </w:rPr>
        <w:t>为本项目成交供应商。按照采购文件及相关规定，经双方协商一致，签订本合同。</w:t>
      </w:r>
      <w:bookmarkStart w:id="87" w:name="_Toc81879411"/>
    </w:p>
    <w:p w14:paraId="5A729F18">
      <w:pPr>
        <w:spacing w:line="400" w:lineRule="exact"/>
        <w:ind w:firstLine="482" w:firstLineChars="200"/>
        <w:rPr>
          <w:rFonts w:hint="eastAsia" w:ascii="宋体" w:hAnsi="宋体"/>
          <w:b/>
          <w:bCs/>
          <w:sz w:val="24"/>
          <w:szCs w:val="24"/>
        </w:rPr>
      </w:pPr>
      <w:r>
        <w:rPr>
          <w:rFonts w:hint="eastAsia" w:ascii="宋体" w:hAnsi="宋体"/>
          <w:b/>
          <w:bCs/>
          <w:sz w:val="24"/>
        </w:rPr>
        <w:t>1.货物及服务：</w:t>
      </w:r>
      <w:bookmarkEnd w:id="87"/>
    </w:p>
    <w:p w14:paraId="7A4E50D4">
      <w:pPr>
        <w:tabs>
          <w:tab w:val="left" w:pos="360"/>
        </w:tabs>
        <w:spacing w:line="400" w:lineRule="exact"/>
        <w:ind w:firstLine="422" w:firstLineChars="200"/>
        <w:rPr>
          <w:rFonts w:hint="eastAsia" w:ascii="宋体" w:hAnsi="宋体"/>
          <w:b/>
          <w:bCs/>
          <w:szCs w:val="21"/>
        </w:rPr>
      </w:pPr>
      <w:r>
        <w:rPr>
          <w:rFonts w:hint="eastAsia" w:ascii="宋体" w:hAnsi="宋体"/>
          <w:b/>
          <w:bCs/>
          <w:szCs w:val="21"/>
        </w:rPr>
        <w:t>1.1乙方向甲方提供以下货物以及运输、装卸、检验、技术服务、质保期服务等相关服务</w:t>
      </w:r>
    </w:p>
    <w:tbl>
      <w:tblPr>
        <w:tblStyle w:val="459"/>
        <w:tblW w:w="907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473"/>
        <w:gridCol w:w="4339"/>
        <w:gridCol w:w="823"/>
        <w:gridCol w:w="945"/>
        <w:gridCol w:w="850"/>
      </w:tblGrid>
      <w:tr w14:paraId="2796B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072" w:type="dxa"/>
            <w:gridSpan w:val="6"/>
            <w:tcBorders>
              <w:top w:val="single" w:color="auto" w:sz="4" w:space="0"/>
              <w:left w:val="single" w:color="auto" w:sz="4" w:space="0"/>
              <w:bottom w:val="single" w:color="auto" w:sz="4" w:space="0"/>
              <w:right w:val="single" w:color="auto" w:sz="4" w:space="0"/>
            </w:tcBorders>
            <w:shd w:val="clear" w:color="auto" w:fill="C6D9F0"/>
            <w:vAlign w:val="center"/>
          </w:tcPr>
          <w:p w14:paraId="297FD18C">
            <w:pPr>
              <w:jc w:val="center"/>
              <w:rPr>
                <w:rFonts w:hint="eastAsia" w:ascii="宋体" w:hAnsi="宋体" w:cs="Courier New"/>
                <w:b/>
                <w:bCs/>
                <w:kern w:val="0"/>
                <w:szCs w:val="21"/>
              </w:rPr>
            </w:pPr>
            <w:r>
              <w:rPr>
                <w:rFonts w:hint="eastAsia" w:ascii="宋体" w:hAnsi="宋体" w:cs="Courier New"/>
                <w:b/>
                <w:bCs/>
                <w:kern w:val="0"/>
                <w:szCs w:val="21"/>
              </w:rPr>
              <w:t>设备一年维保服务清单</w:t>
            </w:r>
          </w:p>
        </w:tc>
      </w:tr>
      <w:tr w14:paraId="382C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642" w:type="dxa"/>
            <w:tcBorders>
              <w:top w:val="single" w:color="auto" w:sz="4" w:space="0"/>
              <w:left w:val="single" w:color="auto" w:sz="4" w:space="0"/>
              <w:bottom w:val="single" w:color="auto" w:sz="4" w:space="0"/>
              <w:right w:val="single" w:color="auto" w:sz="4" w:space="0"/>
            </w:tcBorders>
            <w:shd w:val="clear" w:color="auto" w:fill="C6D9F0"/>
            <w:vAlign w:val="center"/>
          </w:tcPr>
          <w:p w14:paraId="5CF0C8F1">
            <w:pPr>
              <w:jc w:val="center"/>
              <w:rPr>
                <w:rFonts w:hint="eastAsia" w:ascii="宋体" w:hAnsi="宋体" w:cs="Courier New"/>
                <w:kern w:val="0"/>
                <w:sz w:val="20"/>
              </w:rPr>
            </w:pPr>
            <w:r>
              <w:rPr>
                <w:rFonts w:hint="eastAsia" w:ascii="宋体" w:hAnsi="宋体" w:cs="Courier New"/>
                <w:kern w:val="0"/>
                <w:sz w:val="20"/>
              </w:rPr>
              <w:t>序号</w:t>
            </w:r>
          </w:p>
        </w:tc>
        <w:tc>
          <w:tcPr>
            <w:tcW w:w="1473" w:type="dxa"/>
            <w:tcBorders>
              <w:top w:val="single" w:color="auto" w:sz="4" w:space="0"/>
              <w:left w:val="single" w:color="auto" w:sz="4" w:space="0"/>
              <w:bottom w:val="single" w:color="auto" w:sz="4" w:space="0"/>
              <w:right w:val="single" w:color="auto" w:sz="4" w:space="0"/>
            </w:tcBorders>
            <w:shd w:val="clear" w:color="auto" w:fill="C6D9F0"/>
            <w:vAlign w:val="center"/>
          </w:tcPr>
          <w:p w14:paraId="1C599F8B">
            <w:pPr>
              <w:jc w:val="center"/>
              <w:rPr>
                <w:rFonts w:hint="eastAsia" w:ascii="宋体" w:hAnsi="宋体" w:cs="Courier New"/>
                <w:kern w:val="0"/>
                <w:sz w:val="20"/>
              </w:rPr>
            </w:pPr>
            <w:r>
              <w:rPr>
                <w:rFonts w:hint="eastAsia" w:ascii="宋体" w:hAnsi="宋体" w:cs="Courier New"/>
                <w:kern w:val="0"/>
                <w:sz w:val="20"/>
              </w:rPr>
              <w:t>品名</w:t>
            </w:r>
          </w:p>
        </w:tc>
        <w:tc>
          <w:tcPr>
            <w:tcW w:w="4339" w:type="dxa"/>
            <w:tcBorders>
              <w:top w:val="single" w:color="auto" w:sz="4" w:space="0"/>
              <w:left w:val="single" w:color="auto" w:sz="4" w:space="0"/>
              <w:bottom w:val="single" w:color="auto" w:sz="4" w:space="0"/>
              <w:right w:val="single" w:color="auto" w:sz="4" w:space="0"/>
            </w:tcBorders>
            <w:shd w:val="clear" w:color="auto" w:fill="C6D9F0"/>
            <w:vAlign w:val="center"/>
          </w:tcPr>
          <w:p w14:paraId="354A50BE">
            <w:pPr>
              <w:jc w:val="center"/>
              <w:rPr>
                <w:rFonts w:hint="eastAsia" w:ascii="宋体" w:hAnsi="宋体" w:cs="Courier New"/>
                <w:kern w:val="0"/>
                <w:sz w:val="20"/>
              </w:rPr>
            </w:pPr>
            <w:r>
              <w:rPr>
                <w:rFonts w:hint="eastAsia" w:ascii="宋体" w:hAnsi="宋体" w:cs="Courier New"/>
                <w:kern w:val="0"/>
                <w:sz w:val="20"/>
              </w:rPr>
              <w:t>设备型号</w:t>
            </w:r>
          </w:p>
        </w:tc>
        <w:tc>
          <w:tcPr>
            <w:tcW w:w="823" w:type="dxa"/>
            <w:tcBorders>
              <w:top w:val="single" w:color="auto" w:sz="4" w:space="0"/>
              <w:left w:val="single" w:color="auto" w:sz="4" w:space="0"/>
              <w:bottom w:val="single" w:color="auto" w:sz="4" w:space="0"/>
              <w:right w:val="single" w:color="auto" w:sz="4" w:space="0"/>
            </w:tcBorders>
            <w:shd w:val="clear" w:color="auto" w:fill="C6D9F0"/>
            <w:vAlign w:val="center"/>
          </w:tcPr>
          <w:p w14:paraId="7F085A2B">
            <w:pPr>
              <w:jc w:val="center"/>
              <w:rPr>
                <w:rFonts w:hint="eastAsia" w:ascii="宋体" w:hAnsi="宋体" w:cs="Courier New"/>
                <w:kern w:val="0"/>
                <w:sz w:val="20"/>
              </w:rPr>
            </w:pPr>
            <w:r>
              <w:rPr>
                <w:rFonts w:hint="eastAsia" w:ascii="宋体" w:hAnsi="宋体" w:cs="Courier New"/>
                <w:kern w:val="0"/>
                <w:sz w:val="20"/>
              </w:rPr>
              <w:t>数量</w:t>
            </w:r>
          </w:p>
        </w:tc>
        <w:tc>
          <w:tcPr>
            <w:tcW w:w="945" w:type="dxa"/>
            <w:tcBorders>
              <w:top w:val="single" w:color="auto" w:sz="4" w:space="0"/>
              <w:left w:val="single" w:color="auto" w:sz="4" w:space="0"/>
              <w:bottom w:val="single" w:color="auto" w:sz="4" w:space="0"/>
              <w:right w:val="single" w:color="auto" w:sz="4" w:space="0"/>
            </w:tcBorders>
            <w:shd w:val="clear" w:color="auto" w:fill="C6D9F0"/>
          </w:tcPr>
          <w:p w14:paraId="7E7818F5">
            <w:pPr>
              <w:jc w:val="center"/>
              <w:rPr>
                <w:rFonts w:hint="eastAsia" w:ascii="宋体" w:hAnsi="宋体" w:cs="Courier New"/>
                <w:kern w:val="0"/>
                <w:sz w:val="20"/>
              </w:rPr>
            </w:pPr>
            <w:r>
              <w:rPr>
                <w:rFonts w:hint="eastAsia" w:ascii="宋体" w:hAnsi="宋体" w:cs="Courier New"/>
                <w:kern w:val="0"/>
                <w:sz w:val="20"/>
              </w:rPr>
              <w:t>单价（元）</w:t>
            </w:r>
          </w:p>
        </w:tc>
        <w:tc>
          <w:tcPr>
            <w:tcW w:w="850" w:type="dxa"/>
            <w:tcBorders>
              <w:top w:val="single" w:color="auto" w:sz="4" w:space="0"/>
              <w:left w:val="single" w:color="auto" w:sz="4" w:space="0"/>
              <w:bottom w:val="single" w:color="auto" w:sz="4" w:space="0"/>
              <w:right w:val="single" w:color="auto" w:sz="4" w:space="0"/>
            </w:tcBorders>
            <w:shd w:val="clear" w:color="auto" w:fill="C6D9F0"/>
          </w:tcPr>
          <w:p w14:paraId="60625A3A">
            <w:pPr>
              <w:jc w:val="center"/>
              <w:rPr>
                <w:rFonts w:hint="eastAsia" w:ascii="宋体" w:hAnsi="宋体" w:cs="Courier New"/>
                <w:kern w:val="0"/>
                <w:sz w:val="20"/>
              </w:rPr>
            </w:pPr>
            <w:r>
              <w:rPr>
                <w:rFonts w:hint="eastAsia" w:ascii="宋体" w:hAnsi="宋体" w:cs="Courier New"/>
                <w:kern w:val="0"/>
                <w:sz w:val="20"/>
              </w:rPr>
              <w:t>合价（元）</w:t>
            </w:r>
          </w:p>
        </w:tc>
      </w:tr>
      <w:tr w14:paraId="53A8C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642" w:type="dxa"/>
            <w:tcBorders>
              <w:top w:val="single" w:color="auto" w:sz="4" w:space="0"/>
              <w:left w:val="single" w:color="auto" w:sz="4" w:space="0"/>
              <w:bottom w:val="single" w:color="auto" w:sz="4" w:space="0"/>
              <w:right w:val="single" w:color="auto" w:sz="4" w:space="0"/>
            </w:tcBorders>
            <w:vAlign w:val="center"/>
          </w:tcPr>
          <w:p w14:paraId="13C20CFA">
            <w:pPr>
              <w:jc w:val="center"/>
              <w:rPr>
                <w:rFonts w:hint="eastAsia" w:ascii="宋体" w:hAnsi="宋体" w:cs="Courier New"/>
                <w:kern w:val="0"/>
                <w:szCs w:val="21"/>
              </w:rPr>
            </w:pPr>
            <w:r>
              <w:rPr>
                <w:rFonts w:hint="eastAsia" w:ascii="宋体" w:hAnsi="宋体" w:cs="Courier New"/>
                <w:kern w:val="0"/>
                <w:szCs w:val="21"/>
              </w:rPr>
              <w:t>1</w:t>
            </w:r>
          </w:p>
        </w:tc>
        <w:tc>
          <w:tcPr>
            <w:tcW w:w="1473" w:type="dxa"/>
            <w:tcBorders>
              <w:top w:val="single" w:color="auto" w:sz="4" w:space="0"/>
              <w:left w:val="single" w:color="auto" w:sz="4" w:space="0"/>
              <w:bottom w:val="single" w:color="auto" w:sz="4" w:space="0"/>
              <w:right w:val="single" w:color="auto" w:sz="4" w:space="0"/>
            </w:tcBorders>
            <w:vAlign w:val="center"/>
          </w:tcPr>
          <w:p w14:paraId="167880C1">
            <w:pPr>
              <w:widowControl/>
              <w:jc w:val="center"/>
              <w:rPr>
                <w:rFonts w:hint="eastAsia" w:ascii="宋体" w:hAnsi="宋体" w:cs="宋体"/>
                <w:kern w:val="0"/>
                <w:szCs w:val="21"/>
              </w:rPr>
            </w:pPr>
            <w:r>
              <w:rPr>
                <w:rFonts w:hint="eastAsia" w:ascii="宋体" w:hAnsi="宋体" w:cs="宋体"/>
                <w:kern w:val="0"/>
                <w:szCs w:val="21"/>
              </w:rPr>
              <w:t>EMC存储</w:t>
            </w:r>
          </w:p>
        </w:tc>
        <w:tc>
          <w:tcPr>
            <w:tcW w:w="4339" w:type="dxa"/>
            <w:tcBorders>
              <w:top w:val="single" w:color="auto" w:sz="4" w:space="0"/>
              <w:left w:val="single" w:color="auto" w:sz="4" w:space="0"/>
              <w:bottom w:val="single" w:color="auto" w:sz="4" w:space="0"/>
              <w:right w:val="single" w:color="auto" w:sz="4" w:space="0"/>
            </w:tcBorders>
            <w:vAlign w:val="center"/>
          </w:tcPr>
          <w:p w14:paraId="27F02CDA">
            <w:pPr>
              <w:widowControl/>
              <w:jc w:val="left"/>
              <w:rPr>
                <w:rFonts w:hint="eastAsia" w:ascii="宋体" w:hAnsi="宋体" w:cs="宋体"/>
                <w:kern w:val="0"/>
                <w:szCs w:val="21"/>
              </w:rPr>
            </w:pPr>
            <w:r>
              <w:rPr>
                <w:rFonts w:hint="eastAsia" w:ascii="宋体" w:hAnsi="宋体" w:cs="宋体"/>
                <w:kern w:val="0"/>
                <w:szCs w:val="21"/>
              </w:rPr>
              <w:t>VNX5800机头(含扩展柜、磁盘，容量160T)</w:t>
            </w:r>
          </w:p>
        </w:tc>
        <w:tc>
          <w:tcPr>
            <w:tcW w:w="823" w:type="dxa"/>
            <w:tcBorders>
              <w:top w:val="single" w:color="auto" w:sz="4" w:space="0"/>
              <w:left w:val="single" w:color="auto" w:sz="4" w:space="0"/>
              <w:bottom w:val="single" w:color="auto" w:sz="4" w:space="0"/>
              <w:right w:val="single" w:color="auto" w:sz="4" w:space="0"/>
            </w:tcBorders>
            <w:vAlign w:val="center"/>
          </w:tcPr>
          <w:p w14:paraId="43F57EA3">
            <w:pPr>
              <w:widowControl/>
              <w:jc w:val="center"/>
              <w:rPr>
                <w:rFonts w:hint="eastAsia" w:ascii="宋体" w:hAnsi="宋体" w:cs="宋体"/>
                <w:kern w:val="0"/>
                <w:szCs w:val="21"/>
              </w:rPr>
            </w:pPr>
            <w:r>
              <w:rPr>
                <w:rFonts w:hint="eastAsia" w:ascii="宋体" w:hAnsi="宋体" w:cs="宋体"/>
                <w:kern w:val="0"/>
                <w:szCs w:val="21"/>
              </w:rPr>
              <w:t>1套</w:t>
            </w:r>
          </w:p>
        </w:tc>
        <w:tc>
          <w:tcPr>
            <w:tcW w:w="945" w:type="dxa"/>
            <w:tcBorders>
              <w:top w:val="single" w:color="auto" w:sz="4" w:space="0"/>
              <w:left w:val="single" w:color="auto" w:sz="4" w:space="0"/>
              <w:bottom w:val="single" w:color="auto" w:sz="4" w:space="0"/>
              <w:right w:val="single" w:color="auto" w:sz="4" w:space="0"/>
            </w:tcBorders>
          </w:tcPr>
          <w:p w14:paraId="3C080C15">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1BC44571">
            <w:pPr>
              <w:widowControl/>
              <w:jc w:val="center"/>
              <w:rPr>
                <w:rFonts w:hint="eastAsia" w:ascii="宋体" w:hAnsi="宋体" w:cs="宋体"/>
                <w:kern w:val="0"/>
                <w:szCs w:val="21"/>
              </w:rPr>
            </w:pPr>
          </w:p>
        </w:tc>
      </w:tr>
      <w:tr w14:paraId="2A2E9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2" w:type="dxa"/>
            <w:tcBorders>
              <w:top w:val="single" w:color="auto" w:sz="4" w:space="0"/>
              <w:left w:val="single" w:color="auto" w:sz="4" w:space="0"/>
              <w:bottom w:val="single" w:color="auto" w:sz="4" w:space="0"/>
              <w:right w:val="single" w:color="auto" w:sz="4" w:space="0"/>
            </w:tcBorders>
            <w:vAlign w:val="center"/>
          </w:tcPr>
          <w:p w14:paraId="0C325A3E">
            <w:pPr>
              <w:jc w:val="center"/>
              <w:rPr>
                <w:rFonts w:hint="eastAsia" w:ascii="宋体" w:hAnsi="宋体" w:cs="Courier New"/>
                <w:kern w:val="0"/>
                <w:szCs w:val="21"/>
              </w:rPr>
            </w:pPr>
            <w:r>
              <w:rPr>
                <w:rFonts w:hint="eastAsia" w:ascii="宋体" w:hAnsi="宋体" w:cs="Courier New"/>
                <w:kern w:val="0"/>
                <w:szCs w:val="21"/>
              </w:rPr>
              <w:t>2</w:t>
            </w:r>
          </w:p>
        </w:tc>
        <w:tc>
          <w:tcPr>
            <w:tcW w:w="1473" w:type="dxa"/>
            <w:tcBorders>
              <w:top w:val="single" w:color="auto" w:sz="4" w:space="0"/>
              <w:left w:val="single" w:color="auto" w:sz="4" w:space="0"/>
              <w:bottom w:val="single" w:color="auto" w:sz="4" w:space="0"/>
              <w:right w:val="single" w:color="auto" w:sz="4" w:space="0"/>
            </w:tcBorders>
            <w:vAlign w:val="center"/>
          </w:tcPr>
          <w:p w14:paraId="02BCA956">
            <w:pPr>
              <w:widowControl/>
              <w:jc w:val="center"/>
              <w:rPr>
                <w:rFonts w:hint="eastAsia" w:ascii="宋体" w:hAnsi="宋体" w:cs="宋体"/>
                <w:kern w:val="0"/>
                <w:szCs w:val="21"/>
              </w:rPr>
            </w:pPr>
            <w:r>
              <w:rPr>
                <w:rFonts w:hint="eastAsia" w:ascii="宋体" w:hAnsi="宋体" w:cs="宋体"/>
                <w:kern w:val="0"/>
                <w:szCs w:val="21"/>
              </w:rPr>
              <w:t>EMC存储</w:t>
            </w:r>
          </w:p>
        </w:tc>
        <w:tc>
          <w:tcPr>
            <w:tcW w:w="4339" w:type="dxa"/>
            <w:tcBorders>
              <w:top w:val="single" w:color="auto" w:sz="4" w:space="0"/>
              <w:left w:val="single" w:color="auto" w:sz="4" w:space="0"/>
              <w:bottom w:val="single" w:color="auto" w:sz="4" w:space="0"/>
              <w:right w:val="single" w:color="auto" w:sz="4" w:space="0"/>
            </w:tcBorders>
            <w:vAlign w:val="center"/>
          </w:tcPr>
          <w:p w14:paraId="1AB8ED2F">
            <w:pPr>
              <w:widowControl/>
              <w:jc w:val="left"/>
              <w:rPr>
                <w:rFonts w:hint="eastAsia" w:ascii="宋体" w:hAnsi="宋体" w:cs="宋体"/>
                <w:kern w:val="0"/>
                <w:szCs w:val="21"/>
              </w:rPr>
            </w:pPr>
            <w:r>
              <w:rPr>
                <w:rFonts w:hint="eastAsia" w:ascii="宋体" w:hAnsi="宋体" w:cs="宋体"/>
                <w:kern w:val="0"/>
                <w:szCs w:val="21"/>
              </w:rPr>
              <w:t>Unity300机头（25块1.2T 10K 2.5寸SAS热插拔硬盘）</w:t>
            </w:r>
          </w:p>
        </w:tc>
        <w:tc>
          <w:tcPr>
            <w:tcW w:w="823" w:type="dxa"/>
            <w:tcBorders>
              <w:top w:val="single" w:color="auto" w:sz="4" w:space="0"/>
              <w:left w:val="single" w:color="auto" w:sz="4" w:space="0"/>
              <w:bottom w:val="single" w:color="auto" w:sz="4" w:space="0"/>
              <w:right w:val="single" w:color="auto" w:sz="4" w:space="0"/>
            </w:tcBorders>
            <w:vAlign w:val="center"/>
          </w:tcPr>
          <w:p w14:paraId="436FEC9B">
            <w:pPr>
              <w:widowControl/>
              <w:jc w:val="center"/>
              <w:rPr>
                <w:rFonts w:hint="eastAsia" w:ascii="宋体" w:hAnsi="宋体" w:cs="宋体"/>
                <w:kern w:val="0"/>
                <w:szCs w:val="21"/>
              </w:rPr>
            </w:pPr>
            <w:r>
              <w:rPr>
                <w:rFonts w:hint="eastAsia" w:ascii="宋体" w:hAnsi="宋体" w:cs="宋体"/>
                <w:kern w:val="0"/>
                <w:szCs w:val="21"/>
              </w:rPr>
              <w:t>1套</w:t>
            </w:r>
          </w:p>
        </w:tc>
        <w:tc>
          <w:tcPr>
            <w:tcW w:w="945" w:type="dxa"/>
            <w:tcBorders>
              <w:top w:val="single" w:color="auto" w:sz="4" w:space="0"/>
              <w:left w:val="single" w:color="auto" w:sz="4" w:space="0"/>
              <w:bottom w:val="single" w:color="auto" w:sz="4" w:space="0"/>
              <w:right w:val="single" w:color="auto" w:sz="4" w:space="0"/>
            </w:tcBorders>
          </w:tcPr>
          <w:p w14:paraId="37D4E08F">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CB79727">
            <w:pPr>
              <w:widowControl/>
              <w:jc w:val="center"/>
              <w:rPr>
                <w:rFonts w:hint="eastAsia" w:ascii="宋体" w:hAnsi="宋体" w:cs="宋体"/>
                <w:kern w:val="0"/>
                <w:szCs w:val="21"/>
              </w:rPr>
            </w:pPr>
          </w:p>
        </w:tc>
      </w:tr>
      <w:tr w14:paraId="7DC87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642" w:type="dxa"/>
            <w:tcBorders>
              <w:top w:val="single" w:color="auto" w:sz="4" w:space="0"/>
              <w:left w:val="single" w:color="auto" w:sz="4" w:space="0"/>
              <w:bottom w:val="single" w:color="auto" w:sz="4" w:space="0"/>
              <w:right w:val="single" w:color="auto" w:sz="4" w:space="0"/>
            </w:tcBorders>
            <w:vAlign w:val="center"/>
          </w:tcPr>
          <w:p w14:paraId="598D98BF">
            <w:pPr>
              <w:jc w:val="center"/>
              <w:rPr>
                <w:rFonts w:hint="eastAsia" w:ascii="宋体" w:hAnsi="宋体" w:cs="Courier New"/>
                <w:kern w:val="0"/>
                <w:szCs w:val="21"/>
              </w:rPr>
            </w:pPr>
            <w:r>
              <w:rPr>
                <w:rFonts w:hint="eastAsia" w:ascii="宋体" w:hAnsi="宋体" w:cs="Courier New"/>
                <w:kern w:val="0"/>
                <w:szCs w:val="21"/>
              </w:rPr>
              <w:t>3</w:t>
            </w:r>
          </w:p>
        </w:tc>
        <w:tc>
          <w:tcPr>
            <w:tcW w:w="1473" w:type="dxa"/>
            <w:tcBorders>
              <w:top w:val="single" w:color="auto" w:sz="4" w:space="0"/>
              <w:left w:val="single" w:color="auto" w:sz="4" w:space="0"/>
              <w:bottom w:val="single" w:color="auto" w:sz="4" w:space="0"/>
              <w:right w:val="single" w:color="auto" w:sz="4" w:space="0"/>
            </w:tcBorders>
            <w:vAlign w:val="center"/>
          </w:tcPr>
          <w:p w14:paraId="2829C588">
            <w:pPr>
              <w:widowControl/>
              <w:jc w:val="center"/>
              <w:rPr>
                <w:rFonts w:hint="eastAsia" w:ascii="宋体" w:hAnsi="宋体" w:cs="宋体"/>
                <w:kern w:val="0"/>
                <w:szCs w:val="21"/>
              </w:rPr>
            </w:pPr>
            <w:r>
              <w:rPr>
                <w:rFonts w:hint="eastAsia" w:ascii="宋体" w:hAnsi="宋体" w:cs="宋体"/>
                <w:kern w:val="0"/>
                <w:szCs w:val="21"/>
              </w:rPr>
              <w:t>SAN交换机</w:t>
            </w:r>
          </w:p>
        </w:tc>
        <w:tc>
          <w:tcPr>
            <w:tcW w:w="4339" w:type="dxa"/>
            <w:tcBorders>
              <w:top w:val="single" w:color="auto" w:sz="4" w:space="0"/>
              <w:left w:val="single" w:color="auto" w:sz="4" w:space="0"/>
              <w:bottom w:val="single" w:color="auto" w:sz="4" w:space="0"/>
              <w:right w:val="single" w:color="auto" w:sz="4" w:space="0"/>
            </w:tcBorders>
            <w:vAlign w:val="center"/>
          </w:tcPr>
          <w:p w14:paraId="658BCCB1">
            <w:pPr>
              <w:widowControl/>
              <w:jc w:val="left"/>
              <w:rPr>
                <w:rFonts w:hint="eastAsia" w:ascii="宋体" w:hAnsi="宋体" w:cs="宋体"/>
                <w:kern w:val="0"/>
                <w:szCs w:val="21"/>
              </w:rPr>
            </w:pPr>
            <w:r>
              <w:rPr>
                <w:rFonts w:hint="eastAsia" w:ascii="宋体" w:hAnsi="宋体" w:cs="宋体"/>
                <w:kern w:val="0"/>
                <w:szCs w:val="21"/>
              </w:rPr>
              <w:t>DS300B:24口8Gb SAN光纤交换机</w:t>
            </w:r>
          </w:p>
        </w:tc>
        <w:tc>
          <w:tcPr>
            <w:tcW w:w="823" w:type="dxa"/>
            <w:tcBorders>
              <w:top w:val="single" w:color="auto" w:sz="4" w:space="0"/>
              <w:left w:val="single" w:color="auto" w:sz="4" w:space="0"/>
              <w:bottom w:val="single" w:color="auto" w:sz="4" w:space="0"/>
              <w:right w:val="single" w:color="auto" w:sz="4" w:space="0"/>
            </w:tcBorders>
            <w:vAlign w:val="center"/>
          </w:tcPr>
          <w:p w14:paraId="3F389DC8">
            <w:pPr>
              <w:widowControl/>
              <w:jc w:val="center"/>
              <w:rPr>
                <w:rFonts w:hint="eastAsia" w:ascii="宋体" w:hAnsi="宋体" w:cs="宋体"/>
                <w:kern w:val="0"/>
                <w:szCs w:val="21"/>
              </w:rPr>
            </w:pPr>
            <w:r>
              <w:rPr>
                <w:rFonts w:hint="eastAsia" w:ascii="宋体" w:hAnsi="宋体" w:cs="宋体"/>
                <w:kern w:val="0"/>
                <w:szCs w:val="21"/>
              </w:rPr>
              <w:t>2台</w:t>
            </w:r>
          </w:p>
        </w:tc>
        <w:tc>
          <w:tcPr>
            <w:tcW w:w="945" w:type="dxa"/>
            <w:tcBorders>
              <w:top w:val="single" w:color="auto" w:sz="4" w:space="0"/>
              <w:left w:val="single" w:color="auto" w:sz="4" w:space="0"/>
              <w:bottom w:val="single" w:color="auto" w:sz="4" w:space="0"/>
              <w:right w:val="single" w:color="auto" w:sz="4" w:space="0"/>
            </w:tcBorders>
          </w:tcPr>
          <w:p w14:paraId="7A09E8AE">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930520C">
            <w:pPr>
              <w:widowControl/>
              <w:jc w:val="center"/>
              <w:rPr>
                <w:rFonts w:hint="eastAsia" w:ascii="宋体" w:hAnsi="宋体" w:cs="宋体"/>
                <w:kern w:val="0"/>
                <w:szCs w:val="21"/>
              </w:rPr>
            </w:pPr>
          </w:p>
        </w:tc>
      </w:tr>
      <w:tr w14:paraId="41FF5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42" w:type="dxa"/>
            <w:tcBorders>
              <w:top w:val="single" w:color="auto" w:sz="4" w:space="0"/>
              <w:left w:val="single" w:color="auto" w:sz="4" w:space="0"/>
              <w:bottom w:val="single" w:color="auto" w:sz="4" w:space="0"/>
              <w:right w:val="single" w:color="auto" w:sz="4" w:space="0"/>
            </w:tcBorders>
            <w:vAlign w:val="center"/>
          </w:tcPr>
          <w:p w14:paraId="0E03A083">
            <w:pPr>
              <w:jc w:val="center"/>
              <w:rPr>
                <w:rFonts w:hint="eastAsia" w:ascii="宋体" w:hAnsi="宋体" w:cs="Courier New"/>
                <w:kern w:val="0"/>
                <w:szCs w:val="21"/>
              </w:rPr>
            </w:pPr>
            <w:r>
              <w:rPr>
                <w:rFonts w:hint="eastAsia" w:ascii="宋体" w:hAnsi="宋体" w:cs="Courier New"/>
                <w:kern w:val="0"/>
                <w:szCs w:val="21"/>
              </w:rPr>
              <w:t>4</w:t>
            </w:r>
          </w:p>
        </w:tc>
        <w:tc>
          <w:tcPr>
            <w:tcW w:w="1473" w:type="dxa"/>
            <w:tcBorders>
              <w:top w:val="single" w:color="auto" w:sz="4" w:space="0"/>
              <w:left w:val="single" w:color="auto" w:sz="4" w:space="0"/>
              <w:bottom w:val="single" w:color="auto" w:sz="4" w:space="0"/>
              <w:right w:val="single" w:color="auto" w:sz="4" w:space="0"/>
            </w:tcBorders>
            <w:vAlign w:val="center"/>
          </w:tcPr>
          <w:p w14:paraId="3C317F42">
            <w:pPr>
              <w:widowControl/>
              <w:jc w:val="center"/>
              <w:rPr>
                <w:rFonts w:hint="eastAsia" w:ascii="宋体" w:hAnsi="宋体" w:cs="宋体"/>
                <w:kern w:val="0"/>
                <w:szCs w:val="21"/>
              </w:rPr>
            </w:pPr>
            <w:r>
              <w:rPr>
                <w:rFonts w:hint="eastAsia" w:ascii="宋体" w:hAnsi="宋体" w:cs="宋体"/>
                <w:kern w:val="0"/>
                <w:szCs w:val="21"/>
              </w:rPr>
              <w:t>日志审计</w:t>
            </w:r>
          </w:p>
        </w:tc>
        <w:tc>
          <w:tcPr>
            <w:tcW w:w="4339" w:type="dxa"/>
            <w:tcBorders>
              <w:top w:val="single" w:color="auto" w:sz="4" w:space="0"/>
              <w:left w:val="single" w:color="auto" w:sz="4" w:space="0"/>
              <w:bottom w:val="single" w:color="auto" w:sz="4" w:space="0"/>
              <w:right w:val="single" w:color="auto" w:sz="4" w:space="0"/>
            </w:tcBorders>
            <w:vAlign w:val="center"/>
          </w:tcPr>
          <w:p w14:paraId="51EBCD42">
            <w:pPr>
              <w:spacing w:line="320" w:lineRule="exact"/>
              <w:rPr>
                <w:rFonts w:hint="eastAsia" w:ascii="宋体" w:hAnsi="宋体" w:cs="宋体"/>
                <w:kern w:val="0"/>
                <w:szCs w:val="21"/>
              </w:rPr>
            </w:pPr>
            <w:r>
              <w:rPr>
                <w:rFonts w:hint="eastAsia" w:ascii="宋体" w:hAnsi="宋体" w:cs="宋体"/>
                <w:kern w:val="0"/>
                <w:szCs w:val="21"/>
              </w:rPr>
              <w:t>思福迪LogBase-A3770Y：</w:t>
            </w:r>
          </w:p>
        </w:tc>
        <w:tc>
          <w:tcPr>
            <w:tcW w:w="823" w:type="dxa"/>
            <w:tcBorders>
              <w:top w:val="single" w:color="auto" w:sz="4" w:space="0"/>
              <w:left w:val="single" w:color="auto" w:sz="4" w:space="0"/>
              <w:bottom w:val="single" w:color="auto" w:sz="4" w:space="0"/>
              <w:right w:val="single" w:color="auto" w:sz="4" w:space="0"/>
            </w:tcBorders>
            <w:vAlign w:val="center"/>
          </w:tcPr>
          <w:p w14:paraId="5E2E455A">
            <w:pPr>
              <w:widowControl/>
              <w:jc w:val="center"/>
              <w:rPr>
                <w:rFonts w:hint="eastAsia" w:ascii="宋体" w:hAnsi="宋体" w:cs="宋体"/>
                <w:kern w:val="0"/>
                <w:szCs w:val="21"/>
              </w:rPr>
            </w:pPr>
            <w:r>
              <w:rPr>
                <w:rFonts w:hint="eastAsia" w:ascii="宋体" w:hAnsi="宋体" w:cs="宋体"/>
                <w:kern w:val="0"/>
                <w:szCs w:val="21"/>
              </w:rPr>
              <w:t>1台</w:t>
            </w:r>
          </w:p>
        </w:tc>
        <w:tc>
          <w:tcPr>
            <w:tcW w:w="945" w:type="dxa"/>
            <w:tcBorders>
              <w:top w:val="single" w:color="auto" w:sz="4" w:space="0"/>
              <w:left w:val="single" w:color="auto" w:sz="4" w:space="0"/>
              <w:bottom w:val="single" w:color="auto" w:sz="4" w:space="0"/>
              <w:right w:val="single" w:color="auto" w:sz="4" w:space="0"/>
            </w:tcBorders>
          </w:tcPr>
          <w:p w14:paraId="30276882">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2E122C2">
            <w:pPr>
              <w:widowControl/>
              <w:jc w:val="center"/>
              <w:rPr>
                <w:rFonts w:hint="eastAsia" w:ascii="宋体" w:hAnsi="宋体" w:cs="宋体"/>
                <w:kern w:val="0"/>
                <w:szCs w:val="21"/>
              </w:rPr>
            </w:pPr>
          </w:p>
        </w:tc>
      </w:tr>
      <w:tr w14:paraId="070CC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642" w:type="dxa"/>
            <w:tcBorders>
              <w:top w:val="single" w:color="auto" w:sz="4" w:space="0"/>
              <w:left w:val="single" w:color="auto" w:sz="4" w:space="0"/>
              <w:bottom w:val="single" w:color="auto" w:sz="4" w:space="0"/>
              <w:right w:val="single" w:color="auto" w:sz="4" w:space="0"/>
            </w:tcBorders>
            <w:vAlign w:val="center"/>
          </w:tcPr>
          <w:p w14:paraId="7CA05C0F">
            <w:pPr>
              <w:jc w:val="center"/>
              <w:rPr>
                <w:rFonts w:hint="eastAsia" w:ascii="宋体" w:hAnsi="宋体" w:cs="Courier New"/>
                <w:kern w:val="0"/>
                <w:szCs w:val="21"/>
              </w:rPr>
            </w:pPr>
            <w:r>
              <w:rPr>
                <w:rFonts w:hint="eastAsia" w:ascii="宋体" w:hAnsi="宋体" w:cs="Courier New"/>
                <w:kern w:val="0"/>
                <w:szCs w:val="21"/>
              </w:rPr>
              <w:t>5</w:t>
            </w:r>
          </w:p>
        </w:tc>
        <w:tc>
          <w:tcPr>
            <w:tcW w:w="1473" w:type="dxa"/>
            <w:tcBorders>
              <w:top w:val="single" w:color="auto" w:sz="4" w:space="0"/>
              <w:left w:val="single" w:color="auto" w:sz="4" w:space="0"/>
              <w:bottom w:val="single" w:color="auto" w:sz="4" w:space="0"/>
              <w:right w:val="single" w:color="auto" w:sz="4" w:space="0"/>
            </w:tcBorders>
            <w:vAlign w:val="center"/>
          </w:tcPr>
          <w:p w14:paraId="2EF8A416">
            <w:pPr>
              <w:widowControl/>
              <w:jc w:val="center"/>
              <w:rPr>
                <w:rFonts w:hint="eastAsia" w:ascii="宋体" w:hAnsi="宋体" w:cs="宋体"/>
                <w:kern w:val="0"/>
                <w:szCs w:val="21"/>
              </w:rPr>
            </w:pPr>
            <w:r>
              <w:rPr>
                <w:rFonts w:hint="eastAsia" w:ascii="宋体" w:hAnsi="宋体" w:cs="宋体"/>
                <w:kern w:val="0"/>
                <w:szCs w:val="21"/>
              </w:rPr>
              <w:t>链路负载均衡</w:t>
            </w:r>
          </w:p>
        </w:tc>
        <w:tc>
          <w:tcPr>
            <w:tcW w:w="4339" w:type="dxa"/>
            <w:tcBorders>
              <w:top w:val="single" w:color="auto" w:sz="4" w:space="0"/>
              <w:left w:val="single" w:color="auto" w:sz="4" w:space="0"/>
              <w:bottom w:val="single" w:color="auto" w:sz="4" w:space="0"/>
              <w:right w:val="single" w:color="auto" w:sz="4" w:space="0"/>
            </w:tcBorders>
            <w:vAlign w:val="center"/>
          </w:tcPr>
          <w:p w14:paraId="13BBA48E">
            <w:pPr>
              <w:spacing w:line="320" w:lineRule="exact"/>
              <w:rPr>
                <w:rFonts w:hint="eastAsia" w:ascii="宋体" w:hAnsi="宋体" w:cs="宋体"/>
                <w:kern w:val="0"/>
                <w:szCs w:val="21"/>
              </w:rPr>
            </w:pPr>
            <w:r>
              <w:rPr>
                <w:rFonts w:hint="eastAsia" w:ascii="宋体" w:hAnsi="宋体" w:cs="宋体"/>
                <w:kern w:val="0"/>
                <w:szCs w:val="21"/>
              </w:rPr>
              <w:t>Radware：LinkProof 4016</w:t>
            </w:r>
          </w:p>
        </w:tc>
        <w:tc>
          <w:tcPr>
            <w:tcW w:w="823" w:type="dxa"/>
            <w:tcBorders>
              <w:top w:val="single" w:color="auto" w:sz="4" w:space="0"/>
              <w:left w:val="single" w:color="auto" w:sz="4" w:space="0"/>
              <w:bottom w:val="single" w:color="auto" w:sz="4" w:space="0"/>
              <w:right w:val="single" w:color="auto" w:sz="4" w:space="0"/>
            </w:tcBorders>
            <w:vAlign w:val="center"/>
          </w:tcPr>
          <w:p w14:paraId="20A496C8">
            <w:pPr>
              <w:widowControl/>
              <w:jc w:val="center"/>
              <w:rPr>
                <w:rFonts w:hint="eastAsia" w:ascii="宋体" w:hAnsi="宋体" w:cs="宋体"/>
                <w:kern w:val="0"/>
                <w:szCs w:val="21"/>
              </w:rPr>
            </w:pPr>
            <w:r>
              <w:rPr>
                <w:rFonts w:hint="eastAsia" w:ascii="宋体" w:hAnsi="宋体" w:cs="宋体"/>
                <w:kern w:val="0"/>
                <w:szCs w:val="21"/>
              </w:rPr>
              <w:t>1台</w:t>
            </w:r>
          </w:p>
        </w:tc>
        <w:tc>
          <w:tcPr>
            <w:tcW w:w="945" w:type="dxa"/>
            <w:tcBorders>
              <w:top w:val="single" w:color="auto" w:sz="4" w:space="0"/>
              <w:left w:val="single" w:color="auto" w:sz="4" w:space="0"/>
              <w:bottom w:val="single" w:color="auto" w:sz="4" w:space="0"/>
              <w:right w:val="single" w:color="auto" w:sz="4" w:space="0"/>
            </w:tcBorders>
          </w:tcPr>
          <w:p w14:paraId="65393D29">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FEC4B2C">
            <w:pPr>
              <w:widowControl/>
              <w:jc w:val="center"/>
              <w:rPr>
                <w:rFonts w:hint="eastAsia" w:ascii="宋体" w:hAnsi="宋体" w:cs="宋体"/>
                <w:kern w:val="0"/>
                <w:szCs w:val="21"/>
              </w:rPr>
            </w:pPr>
          </w:p>
        </w:tc>
      </w:tr>
      <w:tr w14:paraId="1B16F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642" w:type="dxa"/>
            <w:tcBorders>
              <w:top w:val="single" w:color="auto" w:sz="4" w:space="0"/>
              <w:left w:val="single" w:color="auto" w:sz="4" w:space="0"/>
              <w:bottom w:val="single" w:color="auto" w:sz="4" w:space="0"/>
              <w:right w:val="single" w:color="auto" w:sz="4" w:space="0"/>
            </w:tcBorders>
            <w:vAlign w:val="center"/>
          </w:tcPr>
          <w:p w14:paraId="10F331C5">
            <w:pPr>
              <w:jc w:val="center"/>
              <w:rPr>
                <w:rFonts w:hint="eastAsia" w:ascii="宋体" w:hAnsi="宋体" w:cs="Courier New"/>
                <w:kern w:val="0"/>
                <w:szCs w:val="21"/>
              </w:rPr>
            </w:pPr>
            <w:r>
              <w:rPr>
                <w:rFonts w:hint="eastAsia" w:ascii="宋体" w:hAnsi="宋体" w:cs="Courier New"/>
                <w:kern w:val="0"/>
                <w:szCs w:val="21"/>
              </w:rPr>
              <w:t>6</w:t>
            </w:r>
          </w:p>
        </w:tc>
        <w:tc>
          <w:tcPr>
            <w:tcW w:w="1473" w:type="dxa"/>
            <w:tcBorders>
              <w:top w:val="single" w:color="auto" w:sz="4" w:space="0"/>
              <w:left w:val="single" w:color="auto" w:sz="4" w:space="0"/>
              <w:bottom w:val="single" w:color="auto" w:sz="4" w:space="0"/>
              <w:right w:val="single" w:color="auto" w:sz="4" w:space="0"/>
            </w:tcBorders>
            <w:vAlign w:val="center"/>
          </w:tcPr>
          <w:p w14:paraId="5CC9122E">
            <w:pPr>
              <w:widowControl/>
              <w:jc w:val="center"/>
              <w:rPr>
                <w:rFonts w:hint="eastAsia" w:ascii="宋体" w:hAnsi="宋体" w:cs="宋体"/>
                <w:kern w:val="0"/>
                <w:szCs w:val="21"/>
              </w:rPr>
            </w:pPr>
            <w:r>
              <w:rPr>
                <w:rFonts w:hint="eastAsia" w:ascii="宋体" w:hAnsi="宋体" w:cs="宋体"/>
                <w:kern w:val="0"/>
                <w:szCs w:val="21"/>
              </w:rPr>
              <w:t>应用控制</w:t>
            </w:r>
          </w:p>
        </w:tc>
        <w:tc>
          <w:tcPr>
            <w:tcW w:w="4339" w:type="dxa"/>
            <w:tcBorders>
              <w:top w:val="single" w:color="auto" w:sz="4" w:space="0"/>
              <w:left w:val="single" w:color="auto" w:sz="4" w:space="0"/>
              <w:bottom w:val="single" w:color="auto" w:sz="4" w:space="0"/>
              <w:right w:val="single" w:color="auto" w:sz="4" w:space="0"/>
            </w:tcBorders>
            <w:vAlign w:val="center"/>
          </w:tcPr>
          <w:p w14:paraId="28CB50B8">
            <w:pPr>
              <w:spacing w:line="320" w:lineRule="exact"/>
              <w:rPr>
                <w:rFonts w:hint="eastAsia" w:ascii="宋体" w:hAnsi="宋体" w:cs="宋体"/>
                <w:kern w:val="0"/>
                <w:szCs w:val="21"/>
              </w:rPr>
            </w:pPr>
            <w:r>
              <w:rPr>
                <w:rFonts w:hint="eastAsia" w:ascii="宋体" w:hAnsi="宋体" w:cs="宋体"/>
                <w:kern w:val="0"/>
                <w:szCs w:val="21"/>
              </w:rPr>
              <w:t xml:space="preserve">天融信TF-5138 </w:t>
            </w:r>
          </w:p>
        </w:tc>
        <w:tc>
          <w:tcPr>
            <w:tcW w:w="823" w:type="dxa"/>
            <w:tcBorders>
              <w:top w:val="single" w:color="auto" w:sz="4" w:space="0"/>
              <w:left w:val="single" w:color="auto" w:sz="4" w:space="0"/>
              <w:bottom w:val="single" w:color="auto" w:sz="4" w:space="0"/>
              <w:right w:val="single" w:color="auto" w:sz="4" w:space="0"/>
            </w:tcBorders>
            <w:vAlign w:val="center"/>
          </w:tcPr>
          <w:p w14:paraId="1AE46CCD">
            <w:pPr>
              <w:widowControl/>
              <w:jc w:val="center"/>
              <w:rPr>
                <w:rFonts w:hint="eastAsia" w:ascii="宋体" w:hAnsi="宋体" w:cs="宋体"/>
                <w:kern w:val="0"/>
                <w:szCs w:val="21"/>
              </w:rPr>
            </w:pPr>
            <w:r>
              <w:rPr>
                <w:rFonts w:hint="eastAsia" w:ascii="宋体" w:hAnsi="宋体" w:cs="宋体"/>
                <w:kern w:val="0"/>
                <w:szCs w:val="21"/>
              </w:rPr>
              <w:t>2台</w:t>
            </w:r>
          </w:p>
        </w:tc>
        <w:tc>
          <w:tcPr>
            <w:tcW w:w="945" w:type="dxa"/>
            <w:tcBorders>
              <w:top w:val="single" w:color="auto" w:sz="4" w:space="0"/>
              <w:left w:val="single" w:color="auto" w:sz="4" w:space="0"/>
              <w:bottom w:val="single" w:color="auto" w:sz="4" w:space="0"/>
              <w:right w:val="single" w:color="auto" w:sz="4" w:space="0"/>
            </w:tcBorders>
          </w:tcPr>
          <w:p w14:paraId="482EB2AA">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288F475">
            <w:pPr>
              <w:widowControl/>
              <w:jc w:val="center"/>
              <w:rPr>
                <w:rFonts w:hint="eastAsia" w:ascii="宋体" w:hAnsi="宋体" w:cs="宋体"/>
                <w:kern w:val="0"/>
                <w:szCs w:val="21"/>
              </w:rPr>
            </w:pPr>
          </w:p>
        </w:tc>
      </w:tr>
      <w:tr w14:paraId="7116D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642" w:type="dxa"/>
            <w:tcBorders>
              <w:top w:val="single" w:color="auto" w:sz="4" w:space="0"/>
              <w:left w:val="single" w:color="auto" w:sz="4" w:space="0"/>
              <w:bottom w:val="single" w:color="auto" w:sz="4" w:space="0"/>
              <w:right w:val="single" w:color="auto" w:sz="4" w:space="0"/>
            </w:tcBorders>
            <w:vAlign w:val="center"/>
          </w:tcPr>
          <w:p w14:paraId="5B362857">
            <w:pPr>
              <w:jc w:val="center"/>
              <w:rPr>
                <w:rFonts w:hint="eastAsia" w:ascii="宋体" w:hAnsi="宋体" w:cs="Courier New"/>
                <w:kern w:val="0"/>
                <w:szCs w:val="21"/>
              </w:rPr>
            </w:pPr>
            <w:r>
              <w:rPr>
                <w:rFonts w:hint="eastAsia" w:ascii="宋体" w:hAnsi="宋体" w:cs="Courier New"/>
                <w:kern w:val="0"/>
                <w:szCs w:val="21"/>
              </w:rPr>
              <w:t>7</w:t>
            </w:r>
          </w:p>
        </w:tc>
        <w:tc>
          <w:tcPr>
            <w:tcW w:w="1473" w:type="dxa"/>
            <w:tcBorders>
              <w:top w:val="single" w:color="auto" w:sz="4" w:space="0"/>
              <w:left w:val="single" w:color="auto" w:sz="4" w:space="0"/>
              <w:bottom w:val="single" w:color="auto" w:sz="4" w:space="0"/>
              <w:right w:val="single" w:color="auto" w:sz="4" w:space="0"/>
            </w:tcBorders>
            <w:vAlign w:val="center"/>
          </w:tcPr>
          <w:p w14:paraId="47B67EDA">
            <w:pPr>
              <w:widowControl/>
              <w:jc w:val="center"/>
              <w:rPr>
                <w:rFonts w:hint="eastAsia" w:ascii="宋体" w:hAnsi="宋体" w:cs="宋体"/>
                <w:kern w:val="0"/>
                <w:szCs w:val="21"/>
              </w:rPr>
            </w:pPr>
            <w:r>
              <w:rPr>
                <w:rFonts w:hint="eastAsia" w:ascii="宋体" w:hAnsi="宋体" w:cs="宋体"/>
                <w:kern w:val="0"/>
                <w:szCs w:val="21"/>
              </w:rPr>
              <w:t>入侵防御</w:t>
            </w:r>
          </w:p>
        </w:tc>
        <w:tc>
          <w:tcPr>
            <w:tcW w:w="4339" w:type="dxa"/>
            <w:tcBorders>
              <w:top w:val="single" w:color="auto" w:sz="4" w:space="0"/>
              <w:left w:val="single" w:color="auto" w:sz="4" w:space="0"/>
              <w:bottom w:val="single" w:color="auto" w:sz="4" w:space="0"/>
              <w:right w:val="single" w:color="auto" w:sz="4" w:space="0"/>
            </w:tcBorders>
            <w:vAlign w:val="center"/>
          </w:tcPr>
          <w:p w14:paraId="3F2D4497">
            <w:pPr>
              <w:spacing w:line="320" w:lineRule="exact"/>
              <w:rPr>
                <w:rFonts w:hint="eastAsia" w:ascii="宋体" w:hAnsi="宋体" w:cs="宋体"/>
                <w:kern w:val="0"/>
                <w:szCs w:val="21"/>
              </w:rPr>
            </w:pPr>
            <w:r>
              <w:rPr>
                <w:rFonts w:hint="eastAsia" w:ascii="宋体" w:hAnsi="宋体" w:cs="宋体"/>
                <w:kern w:val="0"/>
                <w:szCs w:val="21"/>
              </w:rPr>
              <w:t>天融信TI-51214</w:t>
            </w:r>
          </w:p>
        </w:tc>
        <w:tc>
          <w:tcPr>
            <w:tcW w:w="823" w:type="dxa"/>
            <w:tcBorders>
              <w:top w:val="single" w:color="auto" w:sz="4" w:space="0"/>
              <w:left w:val="single" w:color="auto" w:sz="4" w:space="0"/>
              <w:bottom w:val="single" w:color="auto" w:sz="4" w:space="0"/>
              <w:right w:val="single" w:color="auto" w:sz="4" w:space="0"/>
            </w:tcBorders>
            <w:vAlign w:val="center"/>
          </w:tcPr>
          <w:p w14:paraId="46AD3510">
            <w:pPr>
              <w:widowControl/>
              <w:jc w:val="center"/>
              <w:rPr>
                <w:rFonts w:hint="eastAsia" w:ascii="宋体" w:hAnsi="宋体" w:cs="宋体"/>
                <w:kern w:val="0"/>
                <w:szCs w:val="21"/>
              </w:rPr>
            </w:pPr>
            <w:r>
              <w:rPr>
                <w:rFonts w:hint="eastAsia" w:ascii="宋体" w:hAnsi="宋体" w:cs="宋体"/>
                <w:kern w:val="0"/>
                <w:szCs w:val="21"/>
              </w:rPr>
              <w:t>2台</w:t>
            </w:r>
          </w:p>
        </w:tc>
        <w:tc>
          <w:tcPr>
            <w:tcW w:w="945" w:type="dxa"/>
            <w:tcBorders>
              <w:top w:val="single" w:color="auto" w:sz="4" w:space="0"/>
              <w:left w:val="single" w:color="auto" w:sz="4" w:space="0"/>
              <w:bottom w:val="single" w:color="auto" w:sz="4" w:space="0"/>
              <w:right w:val="single" w:color="auto" w:sz="4" w:space="0"/>
            </w:tcBorders>
          </w:tcPr>
          <w:p w14:paraId="7DD98957">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1D76C957">
            <w:pPr>
              <w:widowControl/>
              <w:jc w:val="center"/>
              <w:rPr>
                <w:rFonts w:hint="eastAsia" w:ascii="宋体" w:hAnsi="宋体" w:cs="宋体"/>
                <w:kern w:val="0"/>
                <w:szCs w:val="21"/>
              </w:rPr>
            </w:pPr>
          </w:p>
        </w:tc>
      </w:tr>
      <w:tr w14:paraId="5FA6D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2" w:type="dxa"/>
            <w:tcBorders>
              <w:top w:val="single" w:color="auto" w:sz="4" w:space="0"/>
              <w:left w:val="single" w:color="auto" w:sz="4" w:space="0"/>
              <w:bottom w:val="single" w:color="auto" w:sz="4" w:space="0"/>
              <w:right w:val="single" w:color="auto" w:sz="4" w:space="0"/>
            </w:tcBorders>
            <w:vAlign w:val="center"/>
          </w:tcPr>
          <w:p w14:paraId="142E4E21">
            <w:pPr>
              <w:jc w:val="center"/>
              <w:rPr>
                <w:rFonts w:hint="eastAsia" w:ascii="宋体" w:hAnsi="宋体" w:cs="Courier New"/>
                <w:kern w:val="0"/>
                <w:szCs w:val="21"/>
              </w:rPr>
            </w:pPr>
            <w:r>
              <w:rPr>
                <w:rFonts w:hint="eastAsia" w:ascii="宋体" w:hAnsi="宋体" w:cs="Courier New"/>
                <w:kern w:val="0"/>
                <w:szCs w:val="21"/>
              </w:rPr>
              <w:t>8</w:t>
            </w:r>
          </w:p>
        </w:tc>
        <w:tc>
          <w:tcPr>
            <w:tcW w:w="1473" w:type="dxa"/>
            <w:tcBorders>
              <w:top w:val="single" w:color="auto" w:sz="4" w:space="0"/>
              <w:left w:val="single" w:color="auto" w:sz="4" w:space="0"/>
              <w:bottom w:val="single" w:color="auto" w:sz="4" w:space="0"/>
              <w:right w:val="single" w:color="auto" w:sz="4" w:space="0"/>
            </w:tcBorders>
            <w:vAlign w:val="center"/>
          </w:tcPr>
          <w:p w14:paraId="4F77F2C6">
            <w:pPr>
              <w:widowControl/>
              <w:jc w:val="center"/>
              <w:rPr>
                <w:rFonts w:hint="eastAsia" w:ascii="宋体" w:hAnsi="宋体" w:cs="宋体"/>
                <w:kern w:val="0"/>
                <w:szCs w:val="21"/>
              </w:rPr>
            </w:pPr>
            <w:r>
              <w:rPr>
                <w:rFonts w:hint="eastAsia" w:ascii="宋体" w:hAnsi="宋体" w:cs="宋体"/>
                <w:kern w:val="0"/>
                <w:szCs w:val="21"/>
              </w:rPr>
              <w:t>4路机架式服务器</w:t>
            </w:r>
          </w:p>
        </w:tc>
        <w:tc>
          <w:tcPr>
            <w:tcW w:w="4339" w:type="dxa"/>
            <w:tcBorders>
              <w:top w:val="single" w:color="auto" w:sz="4" w:space="0"/>
              <w:left w:val="single" w:color="auto" w:sz="4" w:space="0"/>
              <w:bottom w:val="single" w:color="auto" w:sz="4" w:space="0"/>
              <w:right w:val="single" w:color="auto" w:sz="4" w:space="0"/>
            </w:tcBorders>
            <w:vAlign w:val="center"/>
          </w:tcPr>
          <w:p w14:paraId="47A964E7">
            <w:pPr>
              <w:spacing w:line="320" w:lineRule="exact"/>
              <w:rPr>
                <w:rFonts w:hint="eastAsia" w:ascii="宋体" w:hAnsi="宋体" w:cs="宋体"/>
                <w:kern w:val="0"/>
                <w:szCs w:val="21"/>
              </w:rPr>
            </w:pPr>
            <w:r>
              <w:rPr>
                <w:rFonts w:hint="eastAsia" w:ascii="宋体" w:hAnsi="宋体" w:cs="宋体"/>
                <w:kern w:val="0"/>
                <w:szCs w:val="21"/>
              </w:rPr>
              <w:t xml:space="preserve">IBM X3850X5 </w:t>
            </w:r>
          </w:p>
        </w:tc>
        <w:tc>
          <w:tcPr>
            <w:tcW w:w="823" w:type="dxa"/>
            <w:tcBorders>
              <w:top w:val="single" w:color="auto" w:sz="4" w:space="0"/>
              <w:left w:val="single" w:color="auto" w:sz="4" w:space="0"/>
              <w:bottom w:val="single" w:color="auto" w:sz="4" w:space="0"/>
              <w:right w:val="single" w:color="auto" w:sz="4" w:space="0"/>
            </w:tcBorders>
            <w:vAlign w:val="center"/>
          </w:tcPr>
          <w:p w14:paraId="4890DCFE">
            <w:pPr>
              <w:widowControl/>
              <w:jc w:val="center"/>
              <w:rPr>
                <w:rFonts w:hint="eastAsia" w:ascii="宋体" w:hAnsi="宋体" w:cs="宋体"/>
                <w:kern w:val="0"/>
                <w:szCs w:val="21"/>
              </w:rPr>
            </w:pPr>
            <w:r>
              <w:rPr>
                <w:rFonts w:hint="eastAsia" w:ascii="宋体" w:hAnsi="宋体" w:cs="宋体"/>
                <w:kern w:val="0"/>
                <w:szCs w:val="21"/>
              </w:rPr>
              <w:t>6台</w:t>
            </w:r>
          </w:p>
        </w:tc>
        <w:tc>
          <w:tcPr>
            <w:tcW w:w="945" w:type="dxa"/>
            <w:tcBorders>
              <w:top w:val="single" w:color="auto" w:sz="4" w:space="0"/>
              <w:left w:val="single" w:color="auto" w:sz="4" w:space="0"/>
              <w:bottom w:val="single" w:color="auto" w:sz="4" w:space="0"/>
              <w:right w:val="single" w:color="auto" w:sz="4" w:space="0"/>
            </w:tcBorders>
          </w:tcPr>
          <w:p w14:paraId="787AC566">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18F3E50D">
            <w:pPr>
              <w:widowControl/>
              <w:jc w:val="center"/>
              <w:rPr>
                <w:rFonts w:hint="eastAsia" w:ascii="宋体" w:hAnsi="宋体" w:cs="宋体"/>
                <w:kern w:val="0"/>
                <w:szCs w:val="21"/>
              </w:rPr>
            </w:pPr>
          </w:p>
        </w:tc>
      </w:tr>
      <w:tr w14:paraId="2C181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642" w:type="dxa"/>
            <w:tcBorders>
              <w:top w:val="single" w:color="auto" w:sz="4" w:space="0"/>
              <w:left w:val="single" w:color="auto" w:sz="4" w:space="0"/>
              <w:bottom w:val="single" w:color="auto" w:sz="4" w:space="0"/>
              <w:right w:val="single" w:color="auto" w:sz="4" w:space="0"/>
            </w:tcBorders>
            <w:vAlign w:val="center"/>
          </w:tcPr>
          <w:p w14:paraId="1E4A14D3">
            <w:pPr>
              <w:jc w:val="center"/>
              <w:rPr>
                <w:rFonts w:hint="eastAsia" w:ascii="宋体" w:hAnsi="宋体" w:cs="Courier New"/>
                <w:kern w:val="0"/>
                <w:szCs w:val="21"/>
              </w:rPr>
            </w:pPr>
            <w:r>
              <w:rPr>
                <w:rFonts w:hint="eastAsia" w:ascii="宋体" w:hAnsi="宋体" w:cs="Courier New"/>
                <w:kern w:val="0"/>
                <w:szCs w:val="21"/>
              </w:rPr>
              <w:t>9</w:t>
            </w:r>
          </w:p>
        </w:tc>
        <w:tc>
          <w:tcPr>
            <w:tcW w:w="1473" w:type="dxa"/>
            <w:tcBorders>
              <w:top w:val="single" w:color="auto" w:sz="4" w:space="0"/>
              <w:left w:val="single" w:color="auto" w:sz="4" w:space="0"/>
              <w:bottom w:val="single" w:color="auto" w:sz="4" w:space="0"/>
              <w:right w:val="single" w:color="auto" w:sz="4" w:space="0"/>
            </w:tcBorders>
            <w:vAlign w:val="center"/>
          </w:tcPr>
          <w:p w14:paraId="1B0D95FB">
            <w:pPr>
              <w:widowControl/>
              <w:jc w:val="center"/>
              <w:rPr>
                <w:rFonts w:hint="eastAsia" w:ascii="宋体" w:hAnsi="宋体" w:cs="宋体"/>
                <w:kern w:val="0"/>
                <w:szCs w:val="21"/>
              </w:rPr>
            </w:pPr>
            <w:r>
              <w:rPr>
                <w:rFonts w:hint="eastAsia" w:ascii="宋体" w:hAnsi="宋体" w:cs="宋体"/>
                <w:kern w:val="0"/>
                <w:szCs w:val="21"/>
              </w:rPr>
              <w:t>2路机架式服务器</w:t>
            </w:r>
          </w:p>
        </w:tc>
        <w:tc>
          <w:tcPr>
            <w:tcW w:w="4339" w:type="dxa"/>
            <w:tcBorders>
              <w:top w:val="single" w:color="auto" w:sz="4" w:space="0"/>
              <w:left w:val="single" w:color="auto" w:sz="4" w:space="0"/>
              <w:bottom w:val="single" w:color="auto" w:sz="4" w:space="0"/>
              <w:right w:val="single" w:color="auto" w:sz="4" w:space="0"/>
            </w:tcBorders>
            <w:vAlign w:val="center"/>
          </w:tcPr>
          <w:p w14:paraId="733F81EA">
            <w:pPr>
              <w:spacing w:line="320" w:lineRule="exact"/>
              <w:rPr>
                <w:rFonts w:hint="eastAsia" w:ascii="宋体" w:hAnsi="宋体" w:cs="宋体"/>
                <w:kern w:val="0"/>
                <w:szCs w:val="21"/>
              </w:rPr>
            </w:pPr>
            <w:r>
              <w:rPr>
                <w:rFonts w:hint="eastAsia" w:ascii="宋体" w:hAnsi="宋体" w:cs="宋体"/>
                <w:kern w:val="0"/>
                <w:szCs w:val="21"/>
              </w:rPr>
              <w:t xml:space="preserve">IBM X3650M4 </w:t>
            </w:r>
          </w:p>
        </w:tc>
        <w:tc>
          <w:tcPr>
            <w:tcW w:w="823" w:type="dxa"/>
            <w:tcBorders>
              <w:top w:val="single" w:color="auto" w:sz="4" w:space="0"/>
              <w:left w:val="single" w:color="auto" w:sz="4" w:space="0"/>
              <w:bottom w:val="single" w:color="auto" w:sz="4" w:space="0"/>
              <w:right w:val="single" w:color="auto" w:sz="4" w:space="0"/>
            </w:tcBorders>
            <w:vAlign w:val="center"/>
          </w:tcPr>
          <w:p w14:paraId="6667F600">
            <w:pPr>
              <w:widowControl/>
              <w:jc w:val="center"/>
              <w:rPr>
                <w:rFonts w:hint="eastAsia" w:ascii="宋体" w:hAnsi="宋体" w:cs="宋体"/>
                <w:kern w:val="0"/>
                <w:szCs w:val="21"/>
              </w:rPr>
            </w:pPr>
            <w:r>
              <w:rPr>
                <w:rFonts w:hint="eastAsia" w:ascii="宋体" w:hAnsi="宋体" w:cs="宋体"/>
                <w:kern w:val="0"/>
                <w:szCs w:val="21"/>
              </w:rPr>
              <w:t>8台</w:t>
            </w:r>
          </w:p>
        </w:tc>
        <w:tc>
          <w:tcPr>
            <w:tcW w:w="945" w:type="dxa"/>
            <w:tcBorders>
              <w:top w:val="single" w:color="auto" w:sz="4" w:space="0"/>
              <w:left w:val="single" w:color="auto" w:sz="4" w:space="0"/>
              <w:bottom w:val="single" w:color="auto" w:sz="4" w:space="0"/>
              <w:right w:val="single" w:color="auto" w:sz="4" w:space="0"/>
            </w:tcBorders>
          </w:tcPr>
          <w:p w14:paraId="3D5551EA">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0D3457C6">
            <w:pPr>
              <w:widowControl/>
              <w:jc w:val="center"/>
              <w:rPr>
                <w:rFonts w:hint="eastAsia" w:ascii="宋体" w:hAnsi="宋体" w:cs="宋体"/>
                <w:kern w:val="0"/>
                <w:szCs w:val="21"/>
              </w:rPr>
            </w:pPr>
          </w:p>
        </w:tc>
      </w:tr>
      <w:tr w14:paraId="1F293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642" w:type="dxa"/>
            <w:tcBorders>
              <w:top w:val="single" w:color="auto" w:sz="4" w:space="0"/>
              <w:left w:val="single" w:color="auto" w:sz="4" w:space="0"/>
              <w:bottom w:val="single" w:color="auto" w:sz="4" w:space="0"/>
              <w:right w:val="single" w:color="auto" w:sz="4" w:space="0"/>
            </w:tcBorders>
            <w:vAlign w:val="center"/>
          </w:tcPr>
          <w:p w14:paraId="3269515D">
            <w:pPr>
              <w:jc w:val="center"/>
              <w:rPr>
                <w:rFonts w:hint="eastAsia" w:ascii="宋体" w:hAnsi="宋体" w:cs="Courier New"/>
                <w:kern w:val="0"/>
                <w:szCs w:val="21"/>
              </w:rPr>
            </w:pPr>
            <w:r>
              <w:rPr>
                <w:rFonts w:hint="eastAsia" w:ascii="宋体" w:hAnsi="宋体" w:cs="Courier New"/>
                <w:kern w:val="0"/>
                <w:szCs w:val="21"/>
              </w:rPr>
              <w:t>10</w:t>
            </w:r>
          </w:p>
        </w:tc>
        <w:tc>
          <w:tcPr>
            <w:tcW w:w="1473" w:type="dxa"/>
            <w:tcBorders>
              <w:top w:val="single" w:color="auto" w:sz="4" w:space="0"/>
              <w:left w:val="single" w:color="auto" w:sz="4" w:space="0"/>
              <w:bottom w:val="single" w:color="auto" w:sz="4" w:space="0"/>
              <w:right w:val="single" w:color="auto" w:sz="4" w:space="0"/>
            </w:tcBorders>
            <w:vAlign w:val="center"/>
          </w:tcPr>
          <w:p w14:paraId="0D632AA4">
            <w:pPr>
              <w:widowControl/>
              <w:jc w:val="center"/>
              <w:rPr>
                <w:rFonts w:hint="eastAsia" w:ascii="宋体" w:hAnsi="宋体" w:cs="宋体"/>
                <w:kern w:val="0"/>
                <w:szCs w:val="21"/>
              </w:rPr>
            </w:pPr>
            <w:r>
              <w:rPr>
                <w:rFonts w:hint="eastAsia" w:ascii="宋体" w:hAnsi="宋体" w:cs="宋体"/>
                <w:kern w:val="0"/>
                <w:szCs w:val="21"/>
              </w:rPr>
              <w:t>KVM</w:t>
            </w:r>
          </w:p>
        </w:tc>
        <w:tc>
          <w:tcPr>
            <w:tcW w:w="4339" w:type="dxa"/>
            <w:tcBorders>
              <w:top w:val="single" w:color="auto" w:sz="4" w:space="0"/>
              <w:left w:val="single" w:color="auto" w:sz="4" w:space="0"/>
              <w:bottom w:val="single" w:color="auto" w:sz="4" w:space="0"/>
              <w:right w:val="single" w:color="auto" w:sz="4" w:space="0"/>
            </w:tcBorders>
            <w:vAlign w:val="center"/>
          </w:tcPr>
          <w:p w14:paraId="30677E7E">
            <w:pPr>
              <w:spacing w:line="320" w:lineRule="exact"/>
              <w:rPr>
                <w:rFonts w:hint="eastAsia" w:ascii="宋体" w:hAnsi="宋体" w:cs="宋体"/>
                <w:kern w:val="0"/>
                <w:szCs w:val="21"/>
              </w:rPr>
            </w:pPr>
            <w:r>
              <w:rPr>
                <w:rFonts w:hint="eastAsia" w:ascii="宋体" w:hAnsi="宋体" w:cs="宋体"/>
                <w:kern w:val="0"/>
                <w:szCs w:val="21"/>
              </w:rPr>
              <w:t>IBM 1754D1X LCD:19寸液晶KVM切换器</w:t>
            </w:r>
          </w:p>
        </w:tc>
        <w:tc>
          <w:tcPr>
            <w:tcW w:w="823" w:type="dxa"/>
            <w:tcBorders>
              <w:top w:val="single" w:color="auto" w:sz="4" w:space="0"/>
              <w:left w:val="single" w:color="auto" w:sz="4" w:space="0"/>
              <w:bottom w:val="single" w:color="auto" w:sz="4" w:space="0"/>
              <w:right w:val="single" w:color="auto" w:sz="4" w:space="0"/>
            </w:tcBorders>
            <w:vAlign w:val="center"/>
          </w:tcPr>
          <w:p w14:paraId="0D6C61FF">
            <w:pPr>
              <w:widowControl/>
              <w:jc w:val="center"/>
              <w:rPr>
                <w:rFonts w:hint="eastAsia" w:ascii="宋体" w:hAnsi="宋体" w:cs="宋体"/>
                <w:kern w:val="0"/>
                <w:szCs w:val="21"/>
              </w:rPr>
            </w:pPr>
            <w:r>
              <w:rPr>
                <w:rFonts w:hint="eastAsia" w:ascii="宋体" w:hAnsi="宋体" w:cs="宋体"/>
                <w:kern w:val="0"/>
                <w:szCs w:val="21"/>
              </w:rPr>
              <w:t>2台</w:t>
            </w:r>
          </w:p>
        </w:tc>
        <w:tc>
          <w:tcPr>
            <w:tcW w:w="945" w:type="dxa"/>
            <w:tcBorders>
              <w:top w:val="single" w:color="auto" w:sz="4" w:space="0"/>
              <w:left w:val="single" w:color="auto" w:sz="4" w:space="0"/>
              <w:bottom w:val="single" w:color="auto" w:sz="4" w:space="0"/>
              <w:right w:val="single" w:color="auto" w:sz="4" w:space="0"/>
            </w:tcBorders>
          </w:tcPr>
          <w:p w14:paraId="11F82C49">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8C7AC48">
            <w:pPr>
              <w:widowControl/>
              <w:jc w:val="center"/>
              <w:rPr>
                <w:rFonts w:hint="eastAsia" w:ascii="宋体" w:hAnsi="宋体" w:cs="宋体"/>
                <w:kern w:val="0"/>
                <w:szCs w:val="21"/>
              </w:rPr>
            </w:pPr>
          </w:p>
        </w:tc>
      </w:tr>
      <w:tr w14:paraId="64E9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0B0D4550">
            <w:pPr>
              <w:jc w:val="center"/>
              <w:rPr>
                <w:rFonts w:hint="eastAsia" w:ascii="宋体" w:hAnsi="宋体" w:cs="宋体"/>
                <w:kern w:val="0"/>
                <w:szCs w:val="21"/>
              </w:rPr>
            </w:pPr>
            <w:r>
              <w:rPr>
                <w:rFonts w:hint="eastAsia" w:ascii="宋体" w:hAnsi="宋体" w:cs="宋体"/>
                <w:kern w:val="0"/>
                <w:szCs w:val="21"/>
              </w:rPr>
              <w:t>11</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1728B494">
            <w:pPr>
              <w:widowControl/>
              <w:jc w:val="center"/>
              <w:rPr>
                <w:rFonts w:hint="eastAsia" w:ascii="宋体" w:hAnsi="宋体" w:cs="宋体"/>
                <w:kern w:val="0"/>
                <w:szCs w:val="21"/>
              </w:rPr>
            </w:pPr>
            <w:r>
              <w:rPr>
                <w:rFonts w:hint="eastAsia" w:ascii="宋体" w:hAnsi="宋体" w:cs="宋体"/>
                <w:kern w:val="0"/>
                <w:szCs w:val="21"/>
              </w:rPr>
              <w:t>核心交换机</w:t>
            </w:r>
          </w:p>
        </w:tc>
        <w:tc>
          <w:tcPr>
            <w:tcW w:w="4339" w:type="dxa"/>
            <w:tcBorders>
              <w:top w:val="single" w:color="auto" w:sz="4" w:space="0"/>
              <w:left w:val="single" w:color="auto" w:sz="4" w:space="0"/>
              <w:bottom w:val="single" w:color="auto" w:sz="4" w:space="0"/>
              <w:right w:val="single" w:color="auto" w:sz="4" w:space="0"/>
            </w:tcBorders>
            <w:vAlign w:val="center"/>
          </w:tcPr>
          <w:p w14:paraId="0FA4532E">
            <w:pPr>
              <w:widowControl/>
              <w:jc w:val="left"/>
              <w:rPr>
                <w:rFonts w:hint="eastAsia" w:ascii="宋体" w:hAnsi="宋体" w:cs="宋体"/>
                <w:kern w:val="0"/>
                <w:szCs w:val="21"/>
              </w:rPr>
            </w:pPr>
            <w:r>
              <w:rPr>
                <w:rFonts w:hint="eastAsia" w:ascii="宋体" w:hAnsi="宋体" w:cs="宋体"/>
                <w:kern w:val="0"/>
                <w:szCs w:val="21"/>
              </w:rPr>
              <w:t>H3C S10508 以太网交换机主机</w:t>
            </w:r>
          </w:p>
        </w:tc>
        <w:tc>
          <w:tcPr>
            <w:tcW w:w="823" w:type="dxa"/>
            <w:tcBorders>
              <w:top w:val="single" w:color="auto" w:sz="4" w:space="0"/>
              <w:left w:val="single" w:color="auto" w:sz="4" w:space="0"/>
              <w:bottom w:val="single" w:color="auto" w:sz="4" w:space="0"/>
              <w:right w:val="single" w:color="auto" w:sz="4" w:space="0"/>
            </w:tcBorders>
            <w:vAlign w:val="center"/>
          </w:tcPr>
          <w:p w14:paraId="2E17D524">
            <w:pPr>
              <w:widowControl/>
              <w:jc w:val="center"/>
              <w:rPr>
                <w:rFonts w:hint="eastAsia" w:ascii="宋体" w:hAnsi="宋体" w:cs="宋体"/>
                <w:kern w:val="0"/>
                <w:szCs w:val="21"/>
              </w:rPr>
            </w:pPr>
            <w:r>
              <w:rPr>
                <w:rFonts w:hint="eastAsia" w:ascii="宋体" w:hAnsi="宋体" w:cs="宋体"/>
                <w:kern w:val="0"/>
                <w:szCs w:val="21"/>
              </w:rPr>
              <w:t>2套</w:t>
            </w:r>
          </w:p>
        </w:tc>
        <w:tc>
          <w:tcPr>
            <w:tcW w:w="945" w:type="dxa"/>
            <w:tcBorders>
              <w:top w:val="single" w:color="auto" w:sz="4" w:space="0"/>
              <w:left w:val="single" w:color="auto" w:sz="4" w:space="0"/>
              <w:bottom w:val="single" w:color="auto" w:sz="4" w:space="0"/>
              <w:right w:val="single" w:color="auto" w:sz="4" w:space="0"/>
            </w:tcBorders>
          </w:tcPr>
          <w:p w14:paraId="6358A037">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A074B86">
            <w:pPr>
              <w:widowControl/>
              <w:jc w:val="center"/>
              <w:rPr>
                <w:rFonts w:hint="eastAsia" w:ascii="宋体" w:hAnsi="宋体" w:cs="宋体"/>
                <w:kern w:val="0"/>
                <w:szCs w:val="21"/>
              </w:rPr>
            </w:pPr>
          </w:p>
        </w:tc>
      </w:tr>
      <w:tr w14:paraId="07B8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3BA3400">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7969C807">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6A2BA130">
            <w:pPr>
              <w:widowControl/>
              <w:jc w:val="left"/>
              <w:rPr>
                <w:rFonts w:hint="eastAsia" w:ascii="宋体" w:hAnsi="宋体" w:cs="宋体"/>
                <w:kern w:val="0"/>
                <w:szCs w:val="21"/>
              </w:rPr>
            </w:pPr>
            <w:r>
              <w:rPr>
                <w:rFonts w:hint="eastAsia" w:ascii="宋体" w:hAnsi="宋体" w:cs="宋体"/>
                <w:kern w:val="0"/>
                <w:szCs w:val="21"/>
              </w:rPr>
              <w:t>H3C S10500 系列主控制引擎模块</w:t>
            </w:r>
          </w:p>
        </w:tc>
        <w:tc>
          <w:tcPr>
            <w:tcW w:w="823" w:type="dxa"/>
            <w:tcBorders>
              <w:top w:val="single" w:color="auto" w:sz="4" w:space="0"/>
              <w:left w:val="single" w:color="auto" w:sz="4" w:space="0"/>
              <w:bottom w:val="single" w:color="auto" w:sz="4" w:space="0"/>
              <w:right w:val="single" w:color="auto" w:sz="4" w:space="0"/>
            </w:tcBorders>
            <w:vAlign w:val="center"/>
          </w:tcPr>
          <w:p w14:paraId="26D396F7">
            <w:pPr>
              <w:widowControl/>
              <w:jc w:val="center"/>
              <w:rPr>
                <w:rFonts w:hint="eastAsia" w:ascii="宋体" w:hAnsi="宋体" w:cs="宋体"/>
                <w:kern w:val="0"/>
                <w:szCs w:val="21"/>
              </w:rPr>
            </w:pPr>
            <w:r>
              <w:rPr>
                <w:rFonts w:hint="eastAsia" w:ascii="宋体" w:hAnsi="宋体" w:cs="宋体"/>
                <w:kern w:val="0"/>
                <w:szCs w:val="21"/>
              </w:rPr>
              <w:t>2块</w:t>
            </w:r>
          </w:p>
        </w:tc>
        <w:tc>
          <w:tcPr>
            <w:tcW w:w="945" w:type="dxa"/>
            <w:tcBorders>
              <w:top w:val="single" w:color="auto" w:sz="4" w:space="0"/>
              <w:left w:val="single" w:color="auto" w:sz="4" w:space="0"/>
              <w:bottom w:val="single" w:color="auto" w:sz="4" w:space="0"/>
              <w:right w:val="single" w:color="auto" w:sz="4" w:space="0"/>
            </w:tcBorders>
          </w:tcPr>
          <w:p w14:paraId="1E53441F">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B690A30">
            <w:pPr>
              <w:widowControl/>
              <w:jc w:val="center"/>
              <w:rPr>
                <w:rFonts w:hint="eastAsia" w:ascii="宋体" w:hAnsi="宋体" w:cs="宋体"/>
                <w:kern w:val="0"/>
                <w:szCs w:val="21"/>
              </w:rPr>
            </w:pPr>
          </w:p>
        </w:tc>
      </w:tr>
      <w:tr w14:paraId="4239B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66005FC">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3CD27C66">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71FB2573">
            <w:pPr>
              <w:widowControl/>
              <w:jc w:val="left"/>
              <w:rPr>
                <w:rFonts w:hint="eastAsia" w:ascii="宋体" w:hAnsi="宋体" w:cs="宋体"/>
                <w:kern w:val="0"/>
                <w:szCs w:val="21"/>
              </w:rPr>
            </w:pPr>
            <w:r>
              <w:rPr>
                <w:rFonts w:hint="eastAsia" w:ascii="宋体" w:hAnsi="宋体" w:cs="宋体"/>
                <w:kern w:val="0"/>
                <w:szCs w:val="21"/>
              </w:rPr>
              <w:t>S10508 &amp; S10508-V交换网板,B类</w:t>
            </w:r>
          </w:p>
        </w:tc>
        <w:tc>
          <w:tcPr>
            <w:tcW w:w="823" w:type="dxa"/>
            <w:tcBorders>
              <w:top w:val="single" w:color="auto" w:sz="4" w:space="0"/>
              <w:left w:val="single" w:color="auto" w:sz="4" w:space="0"/>
              <w:bottom w:val="single" w:color="auto" w:sz="4" w:space="0"/>
              <w:right w:val="single" w:color="auto" w:sz="4" w:space="0"/>
            </w:tcBorders>
            <w:vAlign w:val="center"/>
          </w:tcPr>
          <w:p w14:paraId="4AD8A928">
            <w:pPr>
              <w:widowControl/>
              <w:jc w:val="center"/>
              <w:rPr>
                <w:rFonts w:hint="eastAsia" w:ascii="宋体" w:hAnsi="宋体" w:cs="宋体"/>
                <w:kern w:val="0"/>
                <w:szCs w:val="21"/>
              </w:rPr>
            </w:pPr>
            <w:r>
              <w:rPr>
                <w:rFonts w:hint="eastAsia" w:ascii="宋体" w:hAnsi="宋体" w:cs="宋体"/>
                <w:kern w:val="0"/>
                <w:szCs w:val="21"/>
              </w:rPr>
              <w:t xml:space="preserve">6块 </w:t>
            </w:r>
          </w:p>
        </w:tc>
        <w:tc>
          <w:tcPr>
            <w:tcW w:w="945" w:type="dxa"/>
            <w:tcBorders>
              <w:top w:val="single" w:color="auto" w:sz="4" w:space="0"/>
              <w:left w:val="single" w:color="auto" w:sz="4" w:space="0"/>
              <w:bottom w:val="single" w:color="auto" w:sz="4" w:space="0"/>
              <w:right w:val="single" w:color="auto" w:sz="4" w:space="0"/>
            </w:tcBorders>
          </w:tcPr>
          <w:p w14:paraId="74DE5173">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0FE79487">
            <w:pPr>
              <w:widowControl/>
              <w:jc w:val="center"/>
              <w:rPr>
                <w:rFonts w:hint="eastAsia" w:ascii="宋体" w:hAnsi="宋体" w:cs="宋体"/>
                <w:kern w:val="0"/>
                <w:szCs w:val="21"/>
              </w:rPr>
            </w:pPr>
          </w:p>
        </w:tc>
      </w:tr>
      <w:tr w14:paraId="12E78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3BAD5C8A">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04C3ECEF">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6B653548">
            <w:pPr>
              <w:widowControl/>
              <w:jc w:val="left"/>
              <w:rPr>
                <w:rFonts w:hint="eastAsia" w:ascii="宋体" w:hAnsi="宋体" w:cs="宋体"/>
                <w:kern w:val="0"/>
                <w:szCs w:val="21"/>
              </w:rPr>
            </w:pPr>
            <w:r>
              <w:rPr>
                <w:rFonts w:hint="eastAsia" w:ascii="宋体" w:hAnsi="宋体" w:cs="宋体"/>
                <w:kern w:val="0"/>
                <w:szCs w:val="21"/>
              </w:rPr>
              <w:t>交流电源模块,2500W</w:t>
            </w:r>
          </w:p>
        </w:tc>
        <w:tc>
          <w:tcPr>
            <w:tcW w:w="823" w:type="dxa"/>
            <w:tcBorders>
              <w:top w:val="single" w:color="auto" w:sz="4" w:space="0"/>
              <w:left w:val="single" w:color="auto" w:sz="4" w:space="0"/>
              <w:bottom w:val="single" w:color="auto" w:sz="4" w:space="0"/>
              <w:right w:val="single" w:color="auto" w:sz="4" w:space="0"/>
            </w:tcBorders>
            <w:vAlign w:val="center"/>
          </w:tcPr>
          <w:p w14:paraId="24BA0EA8">
            <w:pPr>
              <w:widowControl/>
              <w:jc w:val="center"/>
              <w:rPr>
                <w:rFonts w:hint="eastAsia" w:ascii="宋体" w:hAnsi="宋体" w:cs="宋体"/>
                <w:kern w:val="0"/>
                <w:szCs w:val="21"/>
              </w:rPr>
            </w:pPr>
            <w:r>
              <w:rPr>
                <w:rFonts w:hint="eastAsia" w:ascii="宋体" w:hAnsi="宋体" w:cs="宋体"/>
                <w:kern w:val="0"/>
                <w:szCs w:val="21"/>
              </w:rPr>
              <w:t xml:space="preserve">4个 </w:t>
            </w:r>
          </w:p>
        </w:tc>
        <w:tc>
          <w:tcPr>
            <w:tcW w:w="945" w:type="dxa"/>
            <w:tcBorders>
              <w:top w:val="single" w:color="auto" w:sz="4" w:space="0"/>
              <w:left w:val="single" w:color="auto" w:sz="4" w:space="0"/>
              <w:bottom w:val="single" w:color="auto" w:sz="4" w:space="0"/>
              <w:right w:val="single" w:color="auto" w:sz="4" w:space="0"/>
            </w:tcBorders>
          </w:tcPr>
          <w:p w14:paraId="10D1147B">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00B772B">
            <w:pPr>
              <w:widowControl/>
              <w:jc w:val="center"/>
              <w:rPr>
                <w:rFonts w:hint="eastAsia" w:ascii="宋体" w:hAnsi="宋体" w:cs="宋体"/>
                <w:kern w:val="0"/>
                <w:szCs w:val="21"/>
              </w:rPr>
            </w:pPr>
          </w:p>
        </w:tc>
      </w:tr>
      <w:tr w14:paraId="69096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73AED3F">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0AAC606F">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11FC2DF0">
            <w:pPr>
              <w:widowControl/>
              <w:jc w:val="left"/>
              <w:rPr>
                <w:rFonts w:hint="eastAsia" w:ascii="宋体" w:hAnsi="宋体" w:cs="宋体"/>
                <w:kern w:val="0"/>
                <w:szCs w:val="21"/>
              </w:rPr>
            </w:pPr>
            <w:r>
              <w:rPr>
                <w:rFonts w:hint="eastAsia" w:ascii="宋体" w:hAnsi="宋体" w:cs="宋体"/>
                <w:kern w:val="0"/>
                <w:szCs w:val="21"/>
              </w:rPr>
              <w:t>H3C S10500 16端口千兆以太网光口(SFP,LC)+8端口千兆以太网Combo口模块(SE)</w:t>
            </w:r>
          </w:p>
        </w:tc>
        <w:tc>
          <w:tcPr>
            <w:tcW w:w="823" w:type="dxa"/>
            <w:tcBorders>
              <w:top w:val="single" w:color="auto" w:sz="4" w:space="0"/>
              <w:left w:val="single" w:color="auto" w:sz="4" w:space="0"/>
              <w:bottom w:val="single" w:color="auto" w:sz="4" w:space="0"/>
              <w:right w:val="single" w:color="auto" w:sz="4" w:space="0"/>
            </w:tcBorders>
            <w:vAlign w:val="center"/>
          </w:tcPr>
          <w:p w14:paraId="127AF8BA">
            <w:pPr>
              <w:widowControl/>
              <w:jc w:val="center"/>
              <w:rPr>
                <w:rFonts w:hint="eastAsia" w:ascii="宋体" w:hAnsi="宋体" w:cs="宋体"/>
                <w:kern w:val="0"/>
                <w:szCs w:val="21"/>
              </w:rPr>
            </w:pPr>
            <w:r>
              <w:rPr>
                <w:rFonts w:hint="eastAsia" w:ascii="宋体" w:hAnsi="宋体" w:cs="宋体"/>
                <w:kern w:val="0"/>
                <w:szCs w:val="21"/>
              </w:rPr>
              <w:t xml:space="preserve">2块 </w:t>
            </w:r>
          </w:p>
        </w:tc>
        <w:tc>
          <w:tcPr>
            <w:tcW w:w="945" w:type="dxa"/>
            <w:tcBorders>
              <w:top w:val="single" w:color="auto" w:sz="4" w:space="0"/>
              <w:left w:val="single" w:color="auto" w:sz="4" w:space="0"/>
              <w:bottom w:val="single" w:color="auto" w:sz="4" w:space="0"/>
              <w:right w:val="single" w:color="auto" w:sz="4" w:space="0"/>
            </w:tcBorders>
          </w:tcPr>
          <w:p w14:paraId="12A4B550">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3CC8B50">
            <w:pPr>
              <w:widowControl/>
              <w:jc w:val="center"/>
              <w:rPr>
                <w:rFonts w:hint="eastAsia" w:ascii="宋体" w:hAnsi="宋体" w:cs="宋体"/>
                <w:kern w:val="0"/>
                <w:szCs w:val="21"/>
              </w:rPr>
            </w:pPr>
          </w:p>
        </w:tc>
      </w:tr>
      <w:tr w14:paraId="0D396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27C0DE9E">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2D29090C">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1A4CED4D">
            <w:pPr>
              <w:widowControl/>
              <w:jc w:val="left"/>
              <w:rPr>
                <w:rFonts w:hint="eastAsia" w:ascii="宋体" w:hAnsi="宋体" w:cs="宋体"/>
                <w:kern w:val="0"/>
                <w:szCs w:val="21"/>
              </w:rPr>
            </w:pPr>
            <w:r>
              <w:rPr>
                <w:rFonts w:hint="eastAsia" w:ascii="宋体" w:hAnsi="宋体" w:cs="宋体"/>
                <w:kern w:val="0"/>
                <w:szCs w:val="21"/>
              </w:rPr>
              <w:t>H3C S10500 16端口千兆以太网光口(SFP,LC)+8端口千兆以太网Combo口+2端口万兆以太网光接口模块(XFP,LC)(SE)</w:t>
            </w:r>
          </w:p>
        </w:tc>
        <w:tc>
          <w:tcPr>
            <w:tcW w:w="823" w:type="dxa"/>
            <w:tcBorders>
              <w:top w:val="single" w:color="auto" w:sz="4" w:space="0"/>
              <w:left w:val="single" w:color="auto" w:sz="4" w:space="0"/>
              <w:bottom w:val="single" w:color="auto" w:sz="4" w:space="0"/>
              <w:right w:val="single" w:color="auto" w:sz="4" w:space="0"/>
            </w:tcBorders>
            <w:vAlign w:val="center"/>
          </w:tcPr>
          <w:p w14:paraId="14385195">
            <w:pPr>
              <w:widowControl/>
              <w:jc w:val="center"/>
              <w:rPr>
                <w:rFonts w:hint="eastAsia" w:ascii="宋体" w:hAnsi="宋体" w:cs="宋体"/>
                <w:kern w:val="0"/>
                <w:szCs w:val="21"/>
              </w:rPr>
            </w:pPr>
            <w:r>
              <w:rPr>
                <w:rFonts w:hint="eastAsia" w:ascii="宋体" w:hAnsi="宋体" w:cs="宋体"/>
                <w:kern w:val="0"/>
                <w:szCs w:val="21"/>
              </w:rPr>
              <w:t xml:space="preserve">2块 </w:t>
            </w:r>
          </w:p>
        </w:tc>
        <w:tc>
          <w:tcPr>
            <w:tcW w:w="945" w:type="dxa"/>
            <w:tcBorders>
              <w:top w:val="single" w:color="auto" w:sz="4" w:space="0"/>
              <w:left w:val="single" w:color="auto" w:sz="4" w:space="0"/>
              <w:bottom w:val="single" w:color="auto" w:sz="4" w:space="0"/>
              <w:right w:val="single" w:color="auto" w:sz="4" w:space="0"/>
            </w:tcBorders>
          </w:tcPr>
          <w:p w14:paraId="4F9E73DB">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0CCF7147">
            <w:pPr>
              <w:widowControl/>
              <w:jc w:val="center"/>
              <w:rPr>
                <w:rFonts w:hint="eastAsia" w:ascii="宋体" w:hAnsi="宋体" w:cs="宋体"/>
                <w:kern w:val="0"/>
                <w:szCs w:val="21"/>
              </w:rPr>
            </w:pPr>
          </w:p>
        </w:tc>
      </w:tr>
      <w:tr w14:paraId="3DB00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E247899">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0833748E">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390B1F83">
            <w:pPr>
              <w:widowControl/>
              <w:jc w:val="left"/>
              <w:rPr>
                <w:rFonts w:hint="eastAsia" w:ascii="宋体" w:hAnsi="宋体" w:cs="宋体"/>
                <w:kern w:val="0"/>
                <w:szCs w:val="21"/>
              </w:rPr>
            </w:pPr>
            <w:r>
              <w:rPr>
                <w:rFonts w:hint="eastAsia" w:ascii="宋体" w:hAnsi="宋体" w:cs="宋体"/>
                <w:kern w:val="0"/>
                <w:szCs w:val="21"/>
              </w:rPr>
              <w:t>H3C S10500 4端口万兆以太网光接口模块(XFP,LC)(SE)</w:t>
            </w:r>
          </w:p>
        </w:tc>
        <w:tc>
          <w:tcPr>
            <w:tcW w:w="823" w:type="dxa"/>
            <w:tcBorders>
              <w:top w:val="single" w:color="auto" w:sz="4" w:space="0"/>
              <w:left w:val="single" w:color="auto" w:sz="4" w:space="0"/>
              <w:bottom w:val="single" w:color="auto" w:sz="4" w:space="0"/>
              <w:right w:val="single" w:color="auto" w:sz="4" w:space="0"/>
            </w:tcBorders>
            <w:vAlign w:val="center"/>
          </w:tcPr>
          <w:p w14:paraId="7AC4B9B5">
            <w:pPr>
              <w:widowControl/>
              <w:jc w:val="center"/>
              <w:rPr>
                <w:rFonts w:hint="eastAsia" w:ascii="宋体" w:hAnsi="宋体" w:cs="宋体"/>
                <w:kern w:val="0"/>
                <w:szCs w:val="21"/>
              </w:rPr>
            </w:pPr>
            <w:r>
              <w:rPr>
                <w:rFonts w:hint="eastAsia" w:ascii="宋体" w:hAnsi="宋体" w:cs="宋体"/>
                <w:kern w:val="0"/>
                <w:szCs w:val="21"/>
              </w:rPr>
              <w:t xml:space="preserve">2块 </w:t>
            </w:r>
          </w:p>
        </w:tc>
        <w:tc>
          <w:tcPr>
            <w:tcW w:w="945" w:type="dxa"/>
            <w:tcBorders>
              <w:top w:val="single" w:color="auto" w:sz="4" w:space="0"/>
              <w:left w:val="single" w:color="auto" w:sz="4" w:space="0"/>
              <w:bottom w:val="single" w:color="auto" w:sz="4" w:space="0"/>
              <w:right w:val="single" w:color="auto" w:sz="4" w:space="0"/>
            </w:tcBorders>
          </w:tcPr>
          <w:p w14:paraId="68153BC7">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11A33835">
            <w:pPr>
              <w:widowControl/>
              <w:jc w:val="center"/>
              <w:rPr>
                <w:rFonts w:hint="eastAsia" w:ascii="宋体" w:hAnsi="宋体" w:cs="宋体"/>
                <w:kern w:val="0"/>
                <w:szCs w:val="21"/>
              </w:rPr>
            </w:pPr>
          </w:p>
        </w:tc>
      </w:tr>
      <w:tr w14:paraId="1E21C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25037226">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103EE1F1">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576E8EA0">
            <w:pPr>
              <w:widowControl/>
              <w:jc w:val="left"/>
              <w:rPr>
                <w:rFonts w:hint="eastAsia" w:ascii="宋体" w:hAnsi="宋体" w:cs="宋体"/>
                <w:kern w:val="0"/>
                <w:szCs w:val="21"/>
              </w:rPr>
            </w:pPr>
            <w:r>
              <w:rPr>
                <w:rFonts w:hint="eastAsia" w:ascii="宋体" w:hAnsi="宋体" w:cs="宋体"/>
                <w:kern w:val="0"/>
                <w:szCs w:val="21"/>
              </w:rPr>
              <w:t>光模块-XFP-10G-多模模块-(850nm,300m,LC)</w:t>
            </w:r>
          </w:p>
        </w:tc>
        <w:tc>
          <w:tcPr>
            <w:tcW w:w="823" w:type="dxa"/>
            <w:tcBorders>
              <w:top w:val="single" w:color="auto" w:sz="4" w:space="0"/>
              <w:left w:val="single" w:color="auto" w:sz="4" w:space="0"/>
              <w:bottom w:val="single" w:color="auto" w:sz="4" w:space="0"/>
              <w:right w:val="single" w:color="auto" w:sz="4" w:space="0"/>
            </w:tcBorders>
            <w:vAlign w:val="center"/>
          </w:tcPr>
          <w:p w14:paraId="4762732E">
            <w:pPr>
              <w:widowControl/>
              <w:jc w:val="center"/>
              <w:rPr>
                <w:rFonts w:hint="eastAsia" w:ascii="宋体" w:hAnsi="宋体" w:cs="宋体"/>
                <w:kern w:val="0"/>
                <w:szCs w:val="21"/>
              </w:rPr>
            </w:pPr>
            <w:r>
              <w:rPr>
                <w:rFonts w:hint="eastAsia" w:ascii="宋体" w:hAnsi="宋体" w:cs="宋体"/>
                <w:kern w:val="0"/>
                <w:szCs w:val="21"/>
              </w:rPr>
              <w:t xml:space="preserve">10个 </w:t>
            </w:r>
          </w:p>
        </w:tc>
        <w:tc>
          <w:tcPr>
            <w:tcW w:w="945" w:type="dxa"/>
            <w:tcBorders>
              <w:top w:val="single" w:color="auto" w:sz="4" w:space="0"/>
              <w:left w:val="single" w:color="auto" w:sz="4" w:space="0"/>
              <w:bottom w:val="single" w:color="auto" w:sz="4" w:space="0"/>
              <w:right w:val="single" w:color="auto" w:sz="4" w:space="0"/>
            </w:tcBorders>
          </w:tcPr>
          <w:p w14:paraId="26E98A7F">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872FB5B">
            <w:pPr>
              <w:widowControl/>
              <w:jc w:val="center"/>
              <w:rPr>
                <w:rFonts w:hint="eastAsia" w:ascii="宋体" w:hAnsi="宋体" w:cs="宋体"/>
                <w:kern w:val="0"/>
                <w:szCs w:val="21"/>
              </w:rPr>
            </w:pPr>
          </w:p>
        </w:tc>
      </w:tr>
      <w:tr w14:paraId="5FE9F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11F6ACBD">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3F4D982A">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1ED3645E">
            <w:pPr>
              <w:widowControl/>
              <w:jc w:val="left"/>
              <w:rPr>
                <w:rFonts w:hint="eastAsia" w:ascii="宋体" w:hAnsi="宋体" w:cs="宋体"/>
                <w:kern w:val="0"/>
                <w:szCs w:val="21"/>
              </w:rPr>
            </w:pPr>
            <w:r>
              <w:rPr>
                <w:rFonts w:hint="eastAsia" w:ascii="宋体" w:hAnsi="宋体" w:cs="宋体"/>
                <w:kern w:val="0"/>
                <w:szCs w:val="21"/>
              </w:rPr>
              <w:t>光模块-SFP-GE-多模模块-(850nm,0.55km,LC)</w:t>
            </w:r>
          </w:p>
        </w:tc>
        <w:tc>
          <w:tcPr>
            <w:tcW w:w="823" w:type="dxa"/>
            <w:tcBorders>
              <w:top w:val="single" w:color="auto" w:sz="4" w:space="0"/>
              <w:left w:val="single" w:color="auto" w:sz="4" w:space="0"/>
              <w:bottom w:val="single" w:color="auto" w:sz="4" w:space="0"/>
              <w:right w:val="single" w:color="auto" w:sz="4" w:space="0"/>
            </w:tcBorders>
            <w:vAlign w:val="center"/>
          </w:tcPr>
          <w:p w14:paraId="2EBE2D36">
            <w:pPr>
              <w:widowControl/>
              <w:jc w:val="center"/>
              <w:rPr>
                <w:rFonts w:hint="eastAsia" w:ascii="宋体" w:hAnsi="宋体" w:cs="宋体"/>
                <w:kern w:val="0"/>
                <w:szCs w:val="21"/>
              </w:rPr>
            </w:pPr>
            <w:r>
              <w:rPr>
                <w:rFonts w:hint="eastAsia" w:ascii="宋体" w:hAnsi="宋体" w:cs="宋体"/>
                <w:kern w:val="0"/>
                <w:szCs w:val="21"/>
              </w:rPr>
              <w:t>56个</w:t>
            </w:r>
          </w:p>
        </w:tc>
        <w:tc>
          <w:tcPr>
            <w:tcW w:w="945" w:type="dxa"/>
            <w:tcBorders>
              <w:top w:val="single" w:color="auto" w:sz="4" w:space="0"/>
              <w:left w:val="single" w:color="auto" w:sz="4" w:space="0"/>
              <w:bottom w:val="single" w:color="auto" w:sz="4" w:space="0"/>
              <w:right w:val="single" w:color="auto" w:sz="4" w:space="0"/>
            </w:tcBorders>
          </w:tcPr>
          <w:p w14:paraId="50D939E5">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88EF8C2">
            <w:pPr>
              <w:widowControl/>
              <w:jc w:val="center"/>
              <w:rPr>
                <w:rFonts w:hint="eastAsia" w:ascii="宋体" w:hAnsi="宋体" w:cs="宋体"/>
                <w:kern w:val="0"/>
                <w:szCs w:val="21"/>
              </w:rPr>
            </w:pPr>
          </w:p>
        </w:tc>
      </w:tr>
      <w:tr w14:paraId="4F74A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tcBorders>
              <w:top w:val="single" w:color="auto" w:sz="4" w:space="0"/>
              <w:left w:val="single" w:color="auto" w:sz="4" w:space="0"/>
              <w:bottom w:val="single" w:color="auto" w:sz="4" w:space="0"/>
              <w:right w:val="single" w:color="auto" w:sz="4" w:space="0"/>
            </w:tcBorders>
            <w:vAlign w:val="center"/>
          </w:tcPr>
          <w:p w14:paraId="2E24DB13">
            <w:pPr>
              <w:widowControl/>
              <w:jc w:val="center"/>
              <w:rPr>
                <w:rFonts w:hint="eastAsia" w:ascii="宋体" w:hAnsi="宋体" w:cs="宋体"/>
                <w:kern w:val="0"/>
                <w:szCs w:val="21"/>
              </w:rPr>
            </w:pPr>
            <w:r>
              <w:rPr>
                <w:rFonts w:hint="eastAsia" w:ascii="宋体" w:hAnsi="宋体" w:cs="宋体"/>
                <w:kern w:val="0"/>
                <w:szCs w:val="21"/>
              </w:rPr>
              <w:t>12</w:t>
            </w:r>
          </w:p>
        </w:tc>
        <w:tc>
          <w:tcPr>
            <w:tcW w:w="1473" w:type="dxa"/>
            <w:tcBorders>
              <w:top w:val="single" w:color="auto" w:sz="4" w:space="0"/>
              <w:left w:val="single" w:color="auto" w:sz="4" w:space="0"/>
              <w:bottom w:val="single" w:color="auto" w:sz="4" w:space="0"/>
              <w:right w:val="single" w:color="auto" w:sz="4" w:space="0"/>
            </w:tcBorders>
            <w:vAlign w:val="center"/>
          </w:tcPr>
          <w:p w14:paraId="56F53EAB">
            <w:pPr>
              <w:widowControl/>
              <w:jc w:val="center"/>
              <w:rPr>
                <w:rFonts w:hint="eastAsia" w:ascii="宋体" w:hAnsi="宋体" w:cs="宋体"/>
                <w:kern w:val="0"/>
                <w:szCs w:val="21"/>
              </w:rPr>
            </w:pPr>
            <w:r>
              <w:rPr>
                <w:rFonts w:hint="eastAsia" w:ascii="宋体" w:hAnsi="宋体" w:cs="宋体"/>
                <w:kern w:val="0"/>
                <w:szCs w:val="21"/>
              </w:rPr>
              <w:t>防火墙板卡</w:t>
            </w:r>
          </w:p>
        </w:tc>
        <w:tc>
          <w:tcPr>
            <w:tcW w:w="4339" w:type="dxa"/>
            <w:tcBorders>
              <w:top w:val="single" w:color="auto" w:sz="4" w:space="0"/>
              <w:left w:val="single" w:color="auto" w:sz="4" w:space="0"/>
              <w:bottom w:val="single" w:color="auto" w:sz="4" w:space="0"/>
              <w:right w:val="single" w:color="auto" w:sz="4" w:space="0"/>
            </w:tcBorders>
            <w:vAlign w:val="center"/>
          </w:tcPr>
          <w:p w14:paraId="19720D00">
            <w:pPr>
              <w:widowControl/>
              <w:jc w:val="left"/>
              <w:rPr>
                <w:rFonts w:hint="eastAsia" w:ascii="宋体" w:hAnsi="宋体" w:cs="宋体"/>
                <w:kern w:val="0"/>
                <w:szCs w:val="21"/>
              </w:rPr>
            </w:pPr>
            <w:r>
              <w:rPr>
                <w:rFonts w:hint="eastAsia" w:ascii="宋体" w:hAnsi="宋体" w:cs="宋体"/>
                <w:kern w:val="0"/>
                <w:szCs w:val="21"/>
              </w:rPr>
              <w:t>H3C S10500,FW III 防火墙业务板</w:t>
            </w:r>
          </w:p>
        </w:tc>
        <w:tc>
          <w:tcPr>
            <w:tcW w:w="823" w:type="dxa"/>
            <w:tcBorders>
              <w:top w:val="single" w:color="auto" w:sz="4" w:space="0"/>
              <w:left w:val="single" w:color="auto" w:sz="4" w:space="0"/>
              <w:bottom w:val="single" w:color="auto" w:sz="4" w:space="0"/>
              <w:right w:val="single" w:color="auto" w:sz="4" w:space="0"/>
            </w:tcBorders>
            <w:vAlign w:val="center"/>
          </w:tcPr>
          <w:p w14:paraId="47697B89">
            <w:pPr>
              <w:widowControl/>
              <w:jc w:val="center"/>
              <w:rPr>
                <w:rFonts w:hint="eastAsia" w:ascii="宋体" w:hAnsi="宋体" w:cs="宋体"/>
                <w:kern w:val="0"/>
                <w:szCs w:val="21"/>
              </w:rPr>
            </w:pPr>
            <w:r>
              <w:rPr>
                <w:rFonts w:hint="eastAsia" w:ascii="宋体" w:hAnsi="宋体" w:cs="宋体"/>
                <w:kern w:val="0"/>
                <w:szCs w:val="21"/>
              </w:rPr>
              <w:t xml:space="preserve">2块 </w:t>
            </w:r>
          </w:p>
        </w:tc>
        <w:tc>
          <w:tcPr>
            <w:tcW w:w="945" w:type="dxa"/>
            <w:tcBorders>
              <w:top w:val="single" w:color="auto" w:sz="4" w:space="0"/>
              <w:left w:val="single" w:color="auto" w:sz="4" w:space="0"/>
              <w:bottom w:val="single" w:color="auto" w:sz="4" w:space="0"/>
              <w:right w:val="single" w:color="auto" w:sz="4" w:space="0"/>
            </w:tcBorders>
          </w:tcPr>
          <w:p w14:paraId="34B51C00">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2FFEEB0">
            <w:pPr>
              <w:widowControl/>
              <w:jc w:val="center"/>
              <w:rPr>
                <w:rFonts w:hint="eastAsia" w:ascii="宋体" w:hAnsi="宋体" w:cs="宋体"/>
                <w:kern w:val="0"/>
                <w:szCs w:val="21"/>
              </w:rPr>
            </w:pPr>
          </w:p>
        </w:tc>
      </w:tr>
      <w:tr w14:paraId="2537D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48940D78">
            <w:pPr>
              <w:widowControl/>
              <w:jc w:val="center"/>
              <w:rPr>
                <w:rFonts w:hint="eastAsia" w:ascii="宋体" w:hAnsi="宋体" w:cs="宋体"/>
                <w:kern w:val="0"/>
                <w:szCs w:val="21"/>
              </w:rPr>
            </w:pPr>
            <w:r>
              <w:rPr>
                <w:rFonts w:hint="eastAsia" w:ascii="宋体" w:hAnsi="宋体" w:cs="宋体"/>
                <w:kern w:val="0"/>
                <w:szCs w:val="21"/>
              </w:rPr>
              <w:t>13</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72D58224">
            <w:pPr>
              <w:widowControl/>
              <w:jc w:val="center"/>
              <w:rPr>
                <w:rFonts w:hint="eastAsia" w:ascii="宋体" w:hAnsi="宋体" w:cs="宋体"/>
                <w:kern w:val="0"/>
                <w:szCs w:val="21"/>
              </w:rPr>
            </w:pPr>
            <w:r>
              <w:rPr>
                <w:rFonts w:hint="eastAsia" w:ascii="宋体" w:hAnsi="宋体" w:cs="宋体"/>
                <w:kern w:val="0"/>
                <w:szCs w:val="21"/>
              </w:rPr>
              <w:t>服务器区万兆接入交换机</w:t>
            </w:r>
          </w:p>
        </w:tc>
        <w:tc>
          <w:tcPr>
            <w:tcW w:w="4339" w:type="dxa"/>
            <w:tcBorders>
              <w:top w:val="single" w:color="auto" w:sz="4" w:space="0"/>
              <w:left w:val="single" w:color="auto" w:sz="4" w:space="0"/>
              <w:bottom w:val="single" w:color="auto" w:sz="4" w:space="0"/>
              <w:right w:val="single" w:color="auto" w:sz="4" w:space="0"/>
            </w:tcBorders>
            <w:vAlign w:val="center"/>
          </w:tcPr>
          <w:p w14:paraId="03EE9F36">
            <w:pPr>
              <w:widowControl/>
              <w:jc w:val="left"/>
              <w:rPr>
                <w:rFonts w:hint="eastAsia" w:ascii="宋体" w:hAnsi="宋体" w:cs="宋体"/>
                <w:kern w:val="0"/>
                <w:szCs w:val="21"/>
              </w:rPr>
            </w:pPr>
            <w:r>
              <w:rPr>
                <w:rFonts w:hint="eastAsia" w:ascii="宋体" w:hAnsi="宋体" w:cs="宋体"/>
                <w:kern w:val="0"/>
                <w:szCs w:val="21"/>
              </w:rPr>
              <w:t xml:space="preserve">H3C S6300-42QF </w:t>
            </w:r>
          </w:p>
        </w:tc>
        <w:tc>
          <w:tcPr>
            <w:tcW w:w="823" w:type="dxa"/>
            <w:tcBorders>
              <w:top w:val="single" w:color="auto" w:sz="4" w:space="0"/>
              <w:left w:val="single" w:color="auto" w:sz="4" w:space="0"/>
              <w:bottom w:val="single" w:color="auto" w:sz="4" w:space="0"/>
              <w:right w:val="single" w:color="auto" w:sz="4" w:space="0"/>
            </w:tcBorders>
            <w:vAlign w:val="center"/>
          </w:tcPr>
          <w:p w14:paraId="745E7F1B">
            <w:pPr>
              <w:widowControl/>
              <w:jc w:val="center"/>
              <w:rPr>
                <w:rFonts w:hint="eastAsia" w:ascii="宋体" w:hAnsi="宋体" w:cs="宋体"/>
                <w:kern w:val="0"/>
                <w:szCs w:val="21"/>
              </w:rPr>
            </w:pPr>
            <w:r>
              <w:rPr>
                <w:rFonts w:hint="eastAsia" w:ascii="宋体" w:hAnsi="宋体" w:cs="宋体"/>
                <w:kern w:val="0"/>
                <w:szCs w:val="21"/>
              </w:rPr>
              <w:t xml:space="preserve">2台 </w:t>
            </w:r>
          </w:p>
        </w:tc>
        <w:tc>
          <w:tcPr>
            <w:tcW w:w="945" w:type="dxa"/>
            <w:tcBorders>
              <w:top w:val="single" w:color="auto" w:sz="4" w:space="0"/>
              <w:left w:val="single" w:color="auto" w:sz="4" w:space="0"/>
              <w:bottom w:val="single" w:color="auto" w:sz="4" w:space="0"/>
              <w:right w:val="single" w:color="auto" w:sz="4" w:space="0"/>
            </w:tcBorders>
          </w:tcPr>
          <w:p w14:paraId="683F1A41">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7DF1BBC">
            <w:pPr>
              <w:widowControl/>
              <w:jc w:val="center"/>
              <w:rPr>
                <w:rFonts w:hint="eastAsia" w:ascii="宋体" w:hAnsi="宋体" w:cs="宋体"/>
                <w:kern w:val="0"/>
                <w:szCs w:val="21"/>
              </w:rPr>
            </w:pPr>
          </w:p>
        </w:tc>
      </w:tr>
      <w:tr w14:paraId="6F289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A968A46">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2C437C58">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3405F870">
            <w:pPr>
              <w:widowControl/>
              <w:jc w:val="left"/>
              <w:rPr>
                <w:rFonts w:hint="eastAsia" w:ascii="宋体" w:hAnsi="宋体" w:cs="宋体"/>
                <w:kern w:val="0"/>
                <w:szCs w:val="21"/>
              </w:rPr>
            </w:pPr>
            <w:r>
              <w:rPr>
                <w:rFonts w:hint="eastAsia" w:ascii="宋体" w:hAnsi="宋体" w:cs="宋体"/>
                <w:kern w:val="0"/>
                <w:szCs w:val="21"/>
              </w:rPr>
              <w:t>650W 交流电源模块</w:t>
            </w:r>
          </w:p>
        </w:tc>
        <w:tc>
          <w:tcPr>
            <w:tcW w:w="823" w:type="dxa"/>
            <w:tcBorders>
              <w:top w:val="single" w:color="auto" w:sz="4" w:space="0"/>
              <w:left w:val="single" w:color="auto" w:sz="4" w:space="0"/>
              <w:bottom w:val="single" w:color="auto" w:sz="4" w:space="0"/>
              <w:right w:val="single" w:color="auto" w:sz="4" w:space="0"/>
            </w:tcBorders>
            <w:vAlign w:val="center"/>
          </w:tcPr>
          <w:p w14:paraId="6418AA91">
            <w:pPr>
              <w:widowControl/>
              <w:jc w:val="center"/>
              <w:rPr>
                <w:rFonts w:hint="eastAsia" w:ascii="宋体" w:hAnsi="宋体" w:cs="宋体"/>
                <w:kern w:val="0"/>
                <w:szCs w:val="21"/>
              </w:rPr>
            </w:pPr>
            <w:r>
              <w:rPr>
                <w:rFonts w:hint="eastAsia" w:ascii="宋体" w:hAnsi="宋体" w:cs="宋体"/>
                <w:kern w:val="0"/>
                <w:szCs w:val="21"/>
              </w:rPr>
              <w:t xml:space="preserve">4个 </w:t>
            </w:r>
          </w:p>
        </w:tc>
        <w:tc>
          <w:tcPr>
            <w:tcW w:w="945" w:type="dxa"/>
            <w:tcBorders>
              <w:top w:val="single" w:color="auto" w:sz="4" w:space="0"/>
              <w:left w:val="single" w:color="auto" w:sz="4" w:space="0"/>
              <w:bottom w:val="single" w:color="auto" w:sz="4" w:space="0"/>
              <w:right w:val="single" w:color="auto" w:sz="4" w:space="0"/>
            </w:tcBorders>
          </w:tcPr>
          <w:p w14:paraId="21545A43">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C179129">
            <w:pPr>
              <w:widowControl/>
              <w:jc w:val="center"/>
              <w:rPr>
                <w:rFonts w:hint="eastAsia" w:ascii="宋体" w:hAnsi="宋体" w:cs="宋体"/>
                <w:kern w:val="0"/>
                <w:szCs w:val="21"/>
              </w:rPr>
            </w:pPr>
          </w:p>
        </w:tc>
      </w:tr>
      <w:tr w14:paraId="56854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041DB652">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02E81D11">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1DAFCE46">
            <w:pPr>
              <w:widowControl/>
              <w:jc w:val="left"/>
              <w:rPr>
                <w:rFonts w:hint="eastAsia" w:ascii="宋体" w:hAnsi="宋体" w:cs="宋体"/>
                <w:kern w:val="0"/>
                <w:szCs w:val="21"/>
              </w:rPr>
            </w:pPr>
            <w:r>
              <w:rPr>
                <w:rFonts w:hint="eastAsia" w:ascii="宋体" w:hAnsi="宋体" w:cs="宋体"/>
                <w:kern w:val="0"/>
                <w:szCs w:val="21"/>
              </w:rPr>
              <w:t>H3C S5820X-26S风扇模块(端口侧出风)</w:t>
            </w:r>
          </w:p>
        </w:tc>
        <w:tc>
          <w:tcPr>
            <w:tcW w:w="823" w:type="dxa"/>
            <w:tcBorders>
              <w:top w:val="single" w:color="auto" w:sz="4" w:space="0"/>
              <w:left w:val="single" w:color="auto" w:sz="4" w:space="0"/>
              <w:bottom w:val="single" w:color="auto" w:sz="4" w:space="0"/>
              <w:right w:val="single" w:color="auto" w:sz="4" w:space="0"/>
            </w:tcBorders>
            <w:vAlign w:val="center"/>
          </w:tcPr>
          <w:p w14:paraId="7C8916A4">
            <w:pPr>
              <w:widowControl/>
              <w:jc w:val="center"/>
              <w:rPr>
                <w:rFonts w:hint="eastAsia" w:ascii="宋体" w:hAnsi="宋体" w:cs="宋体"/>
                <w:kern w:val="0"/>
                <w:szCs w:val="21"/>
              </w:rPr>
            </w:pPr>
            <w:r>
              <w:rPr>
                <w:rFonts w:hint="eastAsia" w:ascii="宋体" w:hAnsi="宋体" w:cs="宋体"/>
                <w:kern w:val="0"/>
                <w:szCs w:val="21"/>
              </w:rPr>
              <w:t>4个</w:t>
            </w:r>
          </w:p>
        </w:tc>
        <w:tc>
          <w:tcPr>
            <w:tcW w:w="945" w:type="dxa"/>
            <w:tcBorders>
              <w:top w:val="single" w:color="auto" w:sz="4" w:space="0"/>
              <w:left w:val="single" w:color="auto" w:sz="4" w:space="0"/>
              <w:bottom w:val="single" w:color="auto" w:sz="4" w:space="0"/>
              <w:right w:val="single" w:color="auto" w:sz="4" w:space="0"/>
            </w:tcBorders>
          </w:tcPr>
          <w:p w14:paraId="32367FCC">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FD19670">
            <w:pPr>
              <w:widowControl/>
              <w:jc w:val="center"/>
              <w:rPr>
                <w:rFonts w:hint="eastAsia" w:ascii="宋体" w:hAnsi="宋体" w:cs="宋体"/>
                <w:kern w:val="0"/>
                <w:szCs w:val="21"/>
              </w:rPr>
            </w:pPr>
          </w:p>
        </w:tc>
      </w:tr>
      <w:tr w14:paraId="2B63D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1B58DE2">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3D10F25D">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E2EBCC4">
            <w:pPr>
              <w:widowControl/>
              <w:jc w:val="left"/>
              <w:rPr>
                <w:rFonts w:hint="eastAsia" w:ascii="宋体" w:hAnsi="宋体" w:cs="宋体"/>
                <w:kern w:val="0"/>
                <w:szCs w:val="21"/>
              </w:rPr>
            </w:pPr>
            <w:r>
              <w:rPr>
                <w:rFonts w:hint="eastAsia" w:ascii="宋体" w:hAnsi="宋体" w:cs="宋体"/>
                <w:kern w:val="0"/>
                <w:szCs w:val="21"/>
              </w:rPr>
              <w:t>40G QSFP+ 3m电缆</w:t>
            </w:r>
          </w:p>
        </w:tc>
        <w:tc>
          <w:tcPr>
            <w:tcW w:w="823" w:type="dxa"/>
            <w:tcBorders>
              <w:top w:val="single" w:color="auto" w:sz="4" w:space="0"/>
              <w:left w:val="single" w:color="auto" w:sz="4" w:space="0"/>
              <w:bottom w:val="single" w:color="auto" w:sz="4" w:space="0"/>
              <w:right w:val="single" w:color="auto" w:sz="4" w:space="0"/>
            </w:tcBorders>
            <w:vAlign w:val="center"/>
          </w:tcPr>
          <w:p w14:paraId="720C8304">
            <w:pPr>
              <w:widowControl/>
              <w:jc w:val="center"/>
              <w:rPr>
                <w:rFonts w:hint="eastAsia" w:ascii="宋体" w:hAnsi="宋体" w:cs="宋体"/>
                <w:kern w:val="0"/>
                <w:szCs w:val="21"/>
              </w:rPr>
            </w:pPr>
            <w:r>
              <w:rPr>
                <w:rFonts w:hint="eastAsia" w:ascii="宋体" w:hAnsi="宋体" w:cs="宋体"/>
                <w:kern w:val="0"/>
                <w:szCs w:val="21"/>
              </w:rPr>
              <w:t>2根</w:t>
            </w:r>
          </w:p>
        </w:tc>
        <w:tc>
          <w:tcPr>
            <w:tcW w:w="945" w:type="dxa"/>
            <w:tcBorders>
              <w:top w:val="single" w:color="auto" w:sz="4" w:space="0"/>
              <w:left w:val="single" w:color="auto" w:sz="4" w:space="0"/>
              <w:bottom w:val="single" w:color="auto" w:sz="4" w:space="0"/>
              <w:right w:val="single" w:color="auto" w:sz="4" w:space="0"/>
            </w:tcBorders>
          </w:tcPr>
          <w:p w14:paraId="650B2C28">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8A9F689">
            <w:pPr>
              <w:widowControl/>
              <w:jc w:val="center"/>
              <w:rPr>
                <w:rFonts w:hint="eastAsia" w:ascii="宋体" w:hAnsi="宋体" w:cs="宋体"/>
                <w:kern w:val="0"/>
                <w:szCs w:val="21"/>
              </w:rPr>
            </w:pPr>
          </w:p>
        </w:tc>
      </w:tr>
      <w:tr w14:paraId="4DB35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30440CC2">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3DAA35A9">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5D95D4D">
            <w:pPr>
              <w:widowControl/>
              <w:jc w:val="left"/>
              <w:rPr>
                <w:rFonts w:hint="eastAsia" w:ascii="宋体" w:hAnsi="宋体" w:cs="宋体"/>
                <w:kern w:val="0"/>
                <w:szCs w:val="21"/>
              </w:rPr>
            </w:pPr>
            <w:r>
              <w:rPr>
                <w:rFonts w:hint="eastAsia" w:ascii="宋体" w:hAnsi="宋体" w:cs="宋体"/>
                <w:kern w:val="0"/>
                <w:szCs w:val="21"/>
              </w:rPr>
              <w:t>SFP+ 万兆模块(850nm,300m,LC)</w:t>
            </w:r>
          </w:p>
        </w:tc>
        <w:tc>
          <w:tcPr>
            <w:tcW w:w="823" w:type="dxa"/>
            <w:tcBorders>
              <w:top w:val="single" w:color="auto" w:sz="4" w:space="0"/>
              <w:left w:val="single" w:color="auto" w:sz="4" w:space="0"/>
              <w:bottom w:val="single" w:color="auto" w:sz="4" w:space="0"/>
              <w:right w:val="single" w:color="auto" w:sz="4" w:space="0"/>
            </w:tcBorders>
            <w:vAlign w:val="center"/>
          </w:tcPr>
          <w:p w14:paraId="3EDD22B2">
            <w:pPr>
              <w:widowControl/>
              <w:jc w:val="center"/>
              <w:rPr>
                <w:rFonts w:hint="eastAsia" w:ascii="宋体" w:hAnsi="宋体" w:cs="宋体"/>
                <w:kern w:val="0"/>
                <w:szCs w:val="21"/>
              </w:rPr>
            </w:pPr>
            <w:r>
              <w:rPr>
                <w:rFonts w:hint="eastAsia" w:ascii="宋体" w:hAnsi="宋体" w:cs="宋体"/>
                <w:kern w:val="0"/>
                <w:szCs w:val="21"/>
              </w:rPr>
              <w:t xml:space="preserve">2个 </w:t>
            </w:r>
          </w:p>
        </w:tc>
        <w:tc>
          <w:tcPr>
            <w:tcW w:w="945" w:type="dxa"/>
            <w:tcBorders>
              <w:top w:val="single" w:color="auto" w:sz="4" w:space="0"/>
              <w:left w:val="single" w:color="auto" w:sz="4" w:space="0"/>
              <w:bottom w:val="single" w:color="auto" w:sz="4" w:space="0"/>
              <w:right w:val="single" w:color="auto" w:sz="4" w:space="0"/>
            </w:tcBorders>
          </w:tcPr>
          <w:p w14:paraId="4488EAB2">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3A074F2">
            <w:pPr>
              <w:widowControl/>
              <w:jc w:val="center"/>
              <w:rPr>
                <w:rFonts w:hint="eastAsia" w:ascii="宋体" w:hAnsi="宋体" w:cs="宋体"/>
                <w:kern w:val="0"/>
                <w:szCs w:val="21"/>
              </w:rPr>
            </w:pPr>
          </w:p>
        </w:tc>
      </w:tr>
      <w:tr w14:paraId="3CF10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731C01B1">
            <w:pPr>
              <w:widowControl/>
              <w:jc w:val="center"/>
              <w:rPr>
                <w:rFonts w:hint="eastAsia" w:ascii="宋体" w:hAnsi="宋体" w:cs="宋体"/>
                <w:kern w:val="0"/>
                <w:szCs w:val="21"/>
              </w:rPr>
            </w:pPr>
            <w:r>
              <w:rPr>
                <w:rFonts w:hint="eastAsia" w:ascii="宋体" w:hAnsi="宋体" w:cs="宋体"/>
                <w:kern w:val="0"/>
                <w:szCs w:val="21"/>
              </w:rPr>
              <w:t>14</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1479E933">
            <w:pPr>
              <w:widowControl/>
              <w:jc w:val="center"/>
              <w:rPr>
                <w:rFonts w:hint="eastAsia" w:ascii="宋体" w:hAnsi="宋体" w:cs="宋体"/>
                <w:kern w:val="0"/>
                <w:szCs w:val="21"/>
              </w:rPr>
            </w:pPr>
            <w:r>
              <w:rPr>
                <w:rFonts w:hint="eastAsia" w:ascii="宋体" w:hAnsi="宋体" w:cs="宋体"/>
                <w:kern w:val="0"/>
                <w:szCs w:val="21"/>
              </w:rPr>
              <w:t>万兆上行接入交换机</w:t>
            </w:r>
          </w:p>
        </w:tc>
        <w:tc>
          <w:tcPr>
            <w:tcW w:w="4339" w:type="dxa"/>
            <w:tcBorders>
              <w:top w:val="single" w:color="auto" w:sz="4" w:space="0"/>
              <w:left w:val="single" w:color="auto" w:sz="4" w:space="0"/>
              <w:bottom w:val="single" w:color="auto" w:sz="4" w:space="0"/>
              <w:right w:val="single" w:color="auto" w:sz="4" w:space="0"/>
            </w:tcBorders>
            <w:vAlign w:val="center"/>
          </w:tcPr>
          <w:p w14:paraId="23F413C9">
            <w:pPr>
              <w:widowControl/>
              <w:jc w:val="left"/>
              <w:rPr>
                <w:rFonts w:hint="eastAsia" w:ascii="宋体" w:hAnsi="宋体" w:cs="宋体"/>
                <w:kern w:val="0"/>
                <w:szCs w:val="21"/>
              </w:rPr>
            </w:pPr>
            <w:r>
              <w:rPr>
                <w:rFonts w:hint="eastAsia" w:ascii="宋体" w:hAnsi="宋体" w:cs="宋体"/>
                <w:kern w:val="0"/>
                <w:szCs w:val="21"/>
              </w:rPr>
              <w:t>H3C S5120-52C-EI-以太网交换机主机</w:t>
            </w:r>
          </w:p>
        </w:tc>
        <w:tc>
          <w:tcPr>
            <w:tcW w:w="823" w:type="dxa"/>
            <w:tcBorders>
              <w:top w:val="single" w:color="auto" w:sz="4" w:space="0"/>
              <w:left w:val="single" w:color="auto" w:sz="4" w:space="0"/>
              <w:bottom w:val="single" w:color="auto" w:sz="4" w:space="0"/>
              <w:right w:val="single" w:color="auto" w:sz="4" w:space="0"/>
            </w:tcBorders>
            <w:vAlign w:val="center"/>
          </w:tcPr>
          <w:p w14:paraId="65A7B9B8">
            <w:pPr>
              <w:widowControl/>
              <w:jc w:val="center"/>
              <w:rPr>
                <w:rFonts w:hint="eastAsia" w:ascii="宋体" w:hAnsi="宋体" w:cs="宋体"/>
                <w:kern w:val="0"/>
                <w:szCs w:val="21"/>
              </w:rPr>
            </w:pPr>
            <w:r>
              <w:rPr>
                <w:rFonts w:hint="eastAsia" w:ascii="宋体" w:hAnsi="宋体" w:cs="宋体"/>
                <w:kern w:val="0"/>
                <w:szCs w:val="21"/>
              </w:rPr>
              <w:t xml:space="preserve">4台 </w:t>
            </w:r>
          </w:p>
        </w:tc>
        <w:tc>
          <w:tcPr>
            <w:tcW w:w="945" w:type="dxa"/>
            <w:tcBorders>
              <w:top w:val="single" w:color="auto" w:sz="4" w:space="0"/>
              <w:left w:val="single" w:color="auto" w:sz="4" w:space="0"/>
              <w:bottom w:val="single" w:color="auto" w:sz="4" w:space="0"/>
              <w:right w:val="single" w:color="auto" w:sz="4" w:space="0"/>
            </w:tcBorders>
          </w:tcPr>
          <w:p w14:paraId="6E8CAE6B">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60C3243">
            <w:pPr>
              <w:widowControl/>
              <w:jc w:val="center"/>
              <w:rPr>
                <w:rFonts w:hint="eastAsia" w:ascii="宋体" w:hAnsi="宋体" w:cs="宋体"/>
                <w:kern w:val="0"/>
                <w:szCs w:val="21"/>
              </w:rPr>
            </w:pPr>
          </w:p>
        </w:tc>
      </w:tr>
      <w:tr w14:paraId="2583F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05275E7E">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5260BC4C">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6424961C">
            <w:pPr>
              <w:widowControl/>
              <w:jc w:val="left"/>
              <w:rPr>
                <w:rFonts w:hint="eastAsia" w:ascii="宋体" w:hAnsi="宋体" w:cs="宋体"/>
                <w:kern w:val="0"/>
                <w:szCs w:val="21"/>
              </w:rPr>
            </w:pPr>
            <w:r>
              <w:rPr>
                <w:rFonts w:hint="eastAsia" w:ascii="宋体" w:hAnsi="宋体" w:cs="宋体"/>
                <w:kern w:val="0"/>
                <w:szCs w:val="21"/>
              </w:rPr>
              <w:t>H3C S5500 2端口万兆以太网CX4接口模块(3m短距离)</w:t>
            </w:r>
          </w:p>
        </w:tc>
        <w:tc>
          <w:tcPr>
            <w:tcW w:w="823" w:type="dxa"/>
            <w:tcBorders>
              <w:top w:val="single" w:color="auto" w:sz="4" w:space="0"/>
              <w:left w:val="single" w:color="auto" w:sz="4" w:space="0"/>
              <w:bottom w:val="single" w:color="auto" w:sz="4" w:space="0"/>
              <w:right w:val="single" w:color="auto" w:sz="4" w:space="0"/>
            </w:tcBorders>
            <w:vAlign w:val="center"/>
          </w:tcPr>
          <w:p w14:paraId="6A9F9C97">
            <w:pPr>
              <w:widowControl/>
              <w:jc w:val="center"/>
              <w:rPr>
                <w:rFonts w:hint="eastAsia" w:ascii="宋体" w:hAnsi="宋体" w:cs="宋体"/>
                <w:kern w:val="0"/>
                <w:szCs w:val="21"/>
              </w:rPr>
            </w:pPr>
            <w:r>
              <w:rPr>
                <w:rFonts w:hint="eastAsia" w:ascii="宋体" w:hAnsi="宋体" w:cs="宋体"/>
                <w:kern w:val="0"/>
                <w:szCs w:val="21"/>
              </w:rPr>
              <w:t>2 块</w:t>
            </w:r>
          </w:p>
        </w:tc>
        <w:tc>
          <w:tcPr>
            <w:tcW w:w="945" w:type="dxa"/>
            <w:tcBorders>
              <w:top w:val="single" w:color="auto" w:sz="4" w:space="0"/>
              <w:left w:val="single" w:color="auto" w:sz="4" w:space="0"/>
              <w:bottom w:val="single" w:color="auto" w:sz="4" w:space="0"/>
              <w:right w:val="single" w:color="auto" w:sz="4" w:space="0"/>
            </w:tcBorders>
          </w:tcPr>
          <w:p w14:paraId="084746B1">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16FB51D">
            <w:pPr>
              <w:widowControl/>
              <w:jc w:val="center"/>
              <w:rPr>
                <w:rFonts w:hint="eastAsia" w:ascii="宋体" w:hAnsi="宋体" w:cs="宋体"/>
                <w:kern w:val="0"/>
                <w:szCs w:val="21"/>
              </w:rPr>
            </w:pPr>
          </w:p>
        </w:tc>
      </w:tr>
      <w:tr w14:paraId="1BE64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2CBD3A8">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7083BE94">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093318D9">
            <w:pPr>
              <w:widowControl/>
              <w:jc w:val="left"/>
              <w:rPr>
                <w:rFonts w:hint="eastAsia" w:ascii="宋体" w:hAnsi="宋体" w:cs="宋体"/>
                <w:kern w:val="0"/>
                <w:szCs w:val="21"/>
              </w:rPr>
            </w:pPr>
            <w:r>
              <w:rPr>
                <w:rFonts w:hint="eastAsia" w:ascii="宋体" w:hAnsi="宋体" w:cs="宋体"/>
                <w:kern w:val="0"/>
                <w:szCs w:val="21"/>
              </w:rPr>
              <w:t>CX4 本地连接线缆(clip-clip)-300cm</w:t>
            </w:r>
          </w:p>
        </w:tc>
        <w:tc>
          <w:tcPr>
            <w:tcW w:w="823" w:type="dxa"/>
            <w:tcBorders>
              <w:top w:val="single" w:color="auto" w:sz="4" w:space="0"/>
              <w:left w:val="single" w:color="auto" w:sz="4" w:space="0"/>
              <w:bottom w:val="single" w:color="auto" w:sz="4" w:space="0"/>
              <w:right w:val="single" w:color="auto" w:sz="4" w:space="0"/>
            </w:tcBorders>
            <w:vAlign w:val="center"/>
          </w:tcPr>
          <w:p w14:paraId="084CF1A9">
            <w:pPr>
              <w:widowControl/>
              <w:jc w:val="center"/>
              <w:rPr>
                <w:rFonts w:hint="eastAsia" w:ascii="宋体" w:hAnsi="宋体" w:cs="宋体"/>
                <w:kern w:val="0"/>
                <w:szCs w:val="21"/>
              </w:rPr>
            </w:pPr>
            <w:r>
              <w:rPr>
                <w:rFonts w:hint="eastAsia" w:ascii="宋体" w:hAnsi="宋体" w:cs="宋体"/>
                <w:kern w:val="0"/>
                <w:szCs w:val="21"/>
              </w:rPr>
              <w:t>2 根</w:t>
            </w:r>
          </w:p>
        </w:tc>
        <w:tc>
          <w:tcPr>
            <w:tcW w:w="945" w:type="dxa"/>
            <w:tcBorders>
              <w:top w:val="single" w:color="auto" w:sz="4" w:space="0"/>
              <w:left w:val="single" w:color="auto" w:sz="4" w:space="0"/>
              <w:bottom w:val="single" w:color="auto" w:sz="4" w:space="0"/>
              <w:right w:val="single" w:color="auto" w:sz="4" w:space="0"/>
            </w:tcBorders>
          </w:tcPr>
          <w:p w14:paraId="0ADF960C">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E8BFFEF">
            <w:pPr>
              <w:widowControl/>
              <w:jc w:val="center"/>
              <w:rPr>
                <w:rFonts w:hint="eastAsia" w:ascii="宋体" w:hAnsi="宋体" w:cs="宋体"/>
                <w:kern w:val="0"/>
                <w:szCs w:val="21"/>
              </w:rPr>
            </w:pPr>
          </w:p>
        </w:tc>
      </w:tr>
      <w:tr w14:paraId="125DE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C836CD5">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08F32676">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731732BD">
            <w:pPr>
              <w:widowControl/>
              <w:jc w:val="left"/>
              <w:rPr>
                <w:rFonts w:hint="eastAsia" w:ascii="宋体" w:hAnsi="宋体" w:cs="宋体"/>
                <w:kern w:val="0"/>
                <w:szCs w:val="21"/>
              </w:rPr>
            </w:pPr>
            <w:r>
              <w:rPr>
                <w:rFonts w:hint="eastAsia" w:ascii="宋体" w:hAnsi="宋体" w:cs="宋体"/>
                <w:kern w:val="0"/>
                <w:szCs w:val="21"/>
              </w:rPr>
              <w:t>H3C S5500 2端口万兆以太网SFP+接口板</w:t>
            </w:r>
          </w:p>
        </w:tc>
        <w:tc>
          <w:tcPr>
            <w:tcW w:w="823" w:type="dxa"/>
            <w:tcBorders>
              <w:top w:val="single" w:color="auto" w:sz="4" w:space="0"/>
              <w:left w:val="single" w:color="auto" w:sz="4" w:space="0"/>
              <w:bottom w:val="single" w:color="auto" w:sz="4" w:space="0"/>
              <w:right w:val="single" w:color="auto" w:sz="4" w:space="0"/>
            </w:tcBorders>
            <w:vAlign w:val="center"/>
          </w:tcPr>
          <w:p w14:paraId="5C026D80">
            <w:pPr>
              <w:widowControl/>
              <w:jc w:val="center"/>
              <w:rPr>
                <w:rFonts w:hint="eastAsia" w:ascii="宋体" w:hAnsi="宋体" w:cs="宋体"/>
                <w:kern w:val="0"/>
                <w:szCs w:val="21"/>
              </w:rPr>
            </w:pPr>
            <w:r>
              <w:rPr>
                <w:rFonts w:hint="eastAsia" w:ascii="宋体" w:hAnsi="宋体" w:cs="宋体"/>
                <w:kern w:val="0"/>
                <w:szCs w:val="21"/>
              </w:rPr>
              <w:t>4 块</w:t>
            </w:r>
          </w:p>
        </w:tc>
        <w:tc>
          <w:tcPr>
            <w:tcW w:w="945" w:type="dxa"/>
            <w:tcBorders>
              <w:top w:val="single" w:color="auto" w:sz="4" w:space="0"/>
              <w:left w:val="single" w:color="auto" w:sz="4" w:space="0"/>
              <w:bottom w:val="single" w:color="auto" w:sz="4" w:space="0"/>
              <w:right w:val="single" w:color="auto" w:sz="4" w:space="0"/>
            </w:tcBorders>
          </w:tcPr>
          <w:p w14:paraId="642FB69E">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157DB38D">
            <w:pPr>
              <w:widowControl/>
              <w:jc w:val="center"/>
              <w:rPr>
                <w:rFonts w:hint="eastAsia" w:ascii="宋体" w:hAnsi="宋体" w:cs="宋体"/>
                <w:kern w:val="0"/>
                <w:szCs w:val="21"/>
              </w:rPr>
            </w:pPr>
          </w:p>
        </w:tc>
      </w:tr>
      <w:tr w14:paraId="7E983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388553E3">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6DEFF484">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29846FFA">
            <w:pPr>
              <w:widowControl/>
              <w:jc w:val="left"/>
              <w:rPr>
                <w:rFonts w:hint="eastAsia" w:ascii="宋体" w:hAnsi="宋体" w:cs="宋体"/>
                <w:kern w:val="0"/>
                <w:szCs w:val="21"/>
              </w:rPr>
            </w:pPr>
            <w:r>
              <w:rPr>
                <w:rFonts w:hint="eastAsia" w:ascii="宋体" w:hAnsi="宋体" w:cs="宋体"/>
                <w:kern w:val="0"/>
                <w:szCs w:val="21"/>
              </w:rPr>
              <w:t>SFP+ 万兆模块(850nm,300m,LC)</w:t>
            </w:r>
          </w:p>
        </w:tc>
        <w:tc>
          <w:tcPr>
            <w:tcW w:w="823" w:type="dxa"/>
            <w:tcBorders>
              <w:top w:val="single" w:color="auto" w:sz="4" w:space="0"/>
              <w:left w:val="single" w:color="auto" w:sz="4" w:space="0"/>
              <w:bottom w:val="single" w:color="auto" w:sz="4" w:space="0"/>
              <w:right w:val="single" w:color="auto" w:sz="4" w:space="0"/>
            </w:tcBorders>
            <w:vAlign w:val="center"/>
          </w:tcPr>
          <w:p w14:paraId="58C8A5C2">
            <w:pPr>
              <w:widowControl/>
              <w:jc w:val="center"/>
              <w:rPr>
                <w:rFonts w:hint="eastAsia" w:ascii="宋体" w:hAnsi="宋体" w:cs="宋体"/>
                <w:kern w:val="0"/>
                <w:szCs w:val="21"/>
              </w:rPr>
            </w:pPr>
            <w:r>
              <w:rPr>
                <w:rFonts w:hint="eastAsia" w:ascii="宋体" w:hAnsi="宋体" w:cs="宋体"/>
                <w:kern w:val="0"/>
                <w:szCs w:val="21"/>
              </w:rPr>
              <w:t>4 个</w:t>
            </w:r>
          </w:p>
        </w:tc>
        <w:tc>
          <w:tcPr>
            <w:tcW w:w="945" w:type="dxa"/>
            <w:tcBorders>
              <w:top w:val="single" w:color="auto" w:sz="4" w:space="0"/>
              <w:left w:val="single" w:color="auto" w:sz="4" w:space="0"/>
              <w:bottom w:val="single" w:color="auto" w:sz="4" w:space="0"/>
              <w:right w:val="single" w:color="auto" w:sz="4" w:space="0"/>
            </w:tcBorders>
          </w:tcPr>
          <w:p w14:paraId="248BD872">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3FB6681">
            <w:pPr>
              <w:widowControl/>
              <w:jc w:val="center"/>
              <w:rPr>
                <w:rFonts w:hint="eastAsia" w:ascii="宋体" w:hAnsi="宋体" w:cs="宋体"/>
                <w:kern w:val="0"/>
                <w:szCs w:val="21"/>
              </w:rPr>
            </w:pPr>
          </w:p>
        </w:tc>
      </w:tr>
      <w:tr w14:paraId="0079C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31327901">
            <w:pPr>
              <w:widowControl/>
              <w:jc w:val="center"/>
              <w:rPr>
                <w:rFonts w:hint="eastAsia" w:ascii="宋体" w:hAnsi="宋体" w:cs="宋体"/>
                <w:kern w:val="0"/>
                <w:szCs w:val="21"/>
              </w:rPr>
            </w:pPr>
            <w:r>
              <w:rPr>
                <w:rFonts w:hint="eastAsia" w:ascii="宋体" w:hAnsi="宋体" w:cs="宋体"/>
                <w:kern w:val="0"/>
                <w:szCs w:val="21"/>
              </w:rPr>
              <w:t>15</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7858E5EA">
            <w:pPr>
              <w:widowControl/>
              <w:jc w:val="center"/>
              <w:rPr>
                <w:rFonts w:hint="eastAsia" w:ascii="宋体" w:hAnsi="宋体" w:cs="宋体"/>
                <w:kern w:val="0"/>
                <w:szCs w:val="21"/>
              </w:rPr>
            </w:pPr>
            <w:r>
              <w:rPr>
                <w:rFonts w:hint="eastAsia" w:ascii="宋体" w:hAnsi="宋体" w:cs="宋体"/>
                <w:kern w:val="0"/>
                <w:szCs w:val="21"/>
              </w:rPr>
              <w:t>千兆接入</w:t>
            </w:r>
          </w:p>
          <w:p w14:paraId="057937F3">
            <w:pPr>
              <w:widowControl/>
              <w:jc w:val="center"/>
              <w:rPr>
                <w:rFonts w:hint="eastAsia" w:ascii="宋体" w:hAnsi="宋体" w:cs="宋体"/>
                <w:kern w:val="0"/>
                <w:szCs w:val="21"/>
              </w:rPr>
            </w:pPr>
            <w:r>
              <w:rPr>
                <w:rFonts w:hint="eastAsia" w:ascii="宋体" w:hAnsi="宋体" w:cs="宋体"/>
                <w:kern w:val="0"/>
                <w:szCs w:val="21"/>
              </w:rPr>
              <w:t>交换机</w:t>
            </w:r>
          </w:p>
        </w:tc>
        <w:tc>
          <w:tcPr>
            <w:tcW w:w="4339" w:type="dxa"/>
            <w:tcBorders>
              <w:top w:val="single" w:color="auto" w:sz="4" w:space="0"/>
              <w:left w:val="single" w:color="auto" w:sz="4" w:space="0"/>
              <w:bottom w:val="single" w:color="auto" w:sz="4" w:space="0"/>
              <w:right w:val="single" w:color="auto" w:sz="4" w:space="0"/>
            </w:tcBorders>
            <w:vAlign w:val="center"/>
          </w:tcPr>
          <w:p w14:paraId="16641529">
            <w:pPr>
              <w:widowControl/>
              <w:jc w:val="left"/>
              <w:rPr>
                <w:rFonts w:hint="eastAsia" w:ascii="宋体" w:hAnsi="宋体" w:cs="宋体"/>
                <w:kern w:val="0"/>
                <w:szCs w:val="21"/>
              </w:rPr>
            </w:pPr>
            <w:r>
              <w:rPr>
                <w:rFonts w:hint="eastAsia" w:ascii="宋体" w:hAnsi="宋体" w:cs="宋体"/>
                <w:kern w:val="0"/>
                <w:szCs w:val="21"/>
              </w:rPr>
              <w:t>H3C S5120S-52P-EI</w:t>
            </w:r>
          </w:p>
        </w:tc>
        <w:tc>
          <w:tcPr>
            <w:tcW w:w="823" w:type="dxa"/>
            <w:tcBorders>
              <w:top w:val="single" w:color="auto" w:sz="4" w:space="0"/>
              <w:left w:val="single" w:color="auto" w:sz="4" w:space="0"/>
              <w:bottom w:val="single" w:color="auto" w:sz="4" w:space="0"/>
              <w:right w:val="single" w:color="auto" w:sz="4" w:space="0"/>
            </w:tcBorders>
            <w:vAlign w:val="center"/>
          </w:tcPr>
          <w:p w14:paraId="188C7BFF">
            <w:pPr>
              <w:widowControl/>
              <w:jc w:val="center"/>
              <w:rPr>
                <w:rFonts w:hint="eastAsia" w:ascii="宋体" w:hAnsi="宋体" w:cs="宋体"/>
                <w:kern w:val="0"/>
                <w:szCs w:val="21"/>
              </w:rPr>
            </w:pPr>
            <w:r>
              <w:rPr>
                <w:rFonts w:hint="eastAsia" w:ascii="宋体" w:hAnsi="宋体" w:cs="宋体"/>
                <w:kern w:val="0"/>
                <w:szCs w:val="21"/>
              </w:rPr>
              <w:t>27台</w:t>
            </w:r>
          </w:p>
        </w:tc>
        <w:tc>
          <w:tcPr>
            <w:tcW w:w="945" w:type="dxa"/>
            <w:tcBorders>
              <w:top w:val="single" w:color="auto" w:sz="4" w:space="0"/>
              <w:left w:val="single" w:color="auto" w:sz="4" w:space="0"/>
              <w:bottom w:val="single" w:color="auto" w:sz="4" w:space="0"/>
              <w:right w:val="single" w:color="auto" w:sz="4" w:space="0"/>
            </w:tcBorders>
          </w:tcPr>
          <w:p w14:paraId="607D9EA8">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E3C75A3">
            <w:pPr>
              <w:widowControl/>
              <w:jc w:val="center"/>
              <w:rPr>
                <w:rFonts w:hint="eastAsia" w:ascii="宋体" w:hAnsi="宋体" w:cs="宋体"/>
                <w:kern w:val="0"/>
                <w:szCs w:val="21"/>
              </w:rPr>
            </w:pPr>
          </w:p>
        </w:tc>
      </w:tr>
      <w:tr w14:paraId="11042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B36102C">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44173BAE">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A596365">
            <w:pPr>
              <w:widowControl/>
              <w:jc w:val="left"/>
              <w:rPr>
                <w:rFonts w:hint="eastAsia" w:ascii="宋体" w:hAnsi="宋体" w:cs="宋体"/>
                <w:kern w:val="0"/>
                <w:szCs w:val="21"/>
              </w:rPr>
            </w:pPr>
            <w:r>
              <w:rPr>
                <w:rFonts w:hint="eastAsia" w:ascii="宋体" w:hAnsi="宋体" w:cs="宋体"/>
                <w:kern w:val="0"/>
                <w:szCs w:val="21"/>
              </w:rPr>
              <w:t>SFP堆叠电缆-（150cm，含堆叠模块）</w:t>
            </w:r>
          </w:p>
        </w:tc>
        <w:tc>
          <w:tcPr>
            <w:tcW w:w="823" w:type="dxa"/>
            <w:tcBorders>
              <w:top w:val="single" w:color="auto" w:sz="4" w:space="0"/>
              <w:left w:val="single" w:color="auto" w:sz="4" w:space="0"/>
              <w:bottom w:val="single" w:color="auto" w:sz="4" w:space="0"/>
              <w:right w:val="single" w:color="auto" w:sz="4" w:space="0"/>
            </w:tcBorders>
            <w:vAlign w:val="center"/>
          </w:tcPr>
          <w:p w14:paraId="6246E3B8">
            <w:pPr>
              <w:widowControl/>
              <w:jc w:val="center"/>
              <w:rPr>
                <w:rFonts w:hint="eastAsia" w:ascii="宋体" w:hAnsi="宋体" w:cs="宋体"/>
                <w:kern w:val="0"/>
                <w:szCs w:val="21"/>
              </w:rPr>
            </w:pPr>
            <w:r>
              <w:rPr>
                <w:rFonts w:hint="eastAsia" w:ascii="宋体" w:hAnsi="宋体" w:cs="宋体"/>
                <w:kern w:val="0"/>
                <w:szCs w:val="21"/>
              </w:rPr>
              <w:t>24 根</w:t>
            </w:r>
          </w:p>
        </w:tc>
        <w:tc>
          <w:tcPr>
            <w:tcW w:w="945" w:type="dxa"/>
            <w:tcBorders>
              <w:top w:val="single" w:color="auto" w:sz="4" w:space="0"/>
              <w:left w:val="single" w:color="auto" w:sz="4" w:space="0"/>
              <w:bottom w:val="single" w:color="auto" w:sz="4" w:space="0"/>
              <w:right w:val="single" w:color="auto" w:sz="4" w:space="0"/>
            </w:tcBorders>
          </w:tcPr>
          <w:p w14:paraId="549AF55D">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7C3E3B9">
            <w:pPr>
              <w:widowControl/>
              <w:jc w:val="center"/>
              <w:rPr>
                <w:rFonts w:hint="eastAsia" w:ascii="宋体" w:hAnsi="宋体" w:cs="宋体"/>
                <w:kern w:val="0"/>
                <w:szCs w:val="21"/>
              </w:rPr>
            </w:pPr>
          </w:p>
        </w:tc>
      </w:tr>
      <w:tr w14:paraId="0654E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6AB55DE">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560A24A7">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5E2CEFEF">
            <w:pPr>
              <w:widowControl/>
              <w:jc w:val="left"/>
              <w:rPr>
                <w:rFonts w:hint="eastAsia" w:ascii="宋体" w:hAnsi="宋体" w:cs="宋体"/>
                <w:kern w:val="0"/>
                <w:szCs w:val="21"/>
              </w:rPr>
            </w:pPr>
            <w:r>
              <w:rPr>
                <w:rFonts w:hint="eastAsia" w:ascii="宋体" w:hAnsi="宋体" w:cs="宋体"/>
                <w:kern w:val="0"/>
                <w:szCs w:val="21"/>
              </w:rPr>
              <w:t>光模块-SFP-GE-多模模块-(850nm,0.55km,LC)</w:t>
            </w:r>
          </w:p>
        </w:tc>
        <w:tc>
          <w:tcPr>
            <w:tcW w:w="823" w:type="dxa"/>
            <w:tcBorders>
              <w:top w:val="single" w:color="auto" w:sz="4" w:space="0"/>
              <w:left w:val="single" w:color="auto" w:sz="4" w:space="0"/>
              <w:bottom w:val="single" w:color="auto" w:sz="4" w:space="0"/>
              <w:right w:val="single" w:color="auto" w:sz="4" w:space="0"/>
            </w:tcBorders>
            <w:vAlign w:val="center"/>
          </w:tcPr>
          <w:p w14:paraId="7CFD98C9">
            <w:pPr>
              <w:widowControl/>
              <w:jc w:val="center"/>
              <w:rPr>
                <w:rFonts w:hint="eastAsia" w:ascii="宋体" w:hAnsi="宋体" w:cs="宋体"/>
                <w:kern w:val="0"/>
                <w:szCs w:val="21"/>
              </w:rPr>
            </w:pPr>
            <w:r>
              <w:rPr>
                <w:rFonts w:hint="eastAsia" w:ascii="宋体" w:hAnsi="宋体" w:cs="宋体"/>
                <w:kern w:val="0"/>
                <w:szCs w:val="21"/>
              </w:rPr>
              <w:t>26 个</w:t>
            </w:r>
          </w:p>
        </w:tc>
        <w:tc>
          <w:tcPr>
            <w:tcW w:w="945" w:type="dxa"/>
            <w:tcBorders>
              <w:top w:val="single" w:color="auto" w:sz="4" w:space="0"/>
              <w:left w:val="single" w:color="auto" w:sz="4" w:space="0"/>
              <w:bottom w:val="single" w:color="auto" w:sz="4" w:space="0"/>
              <w:right w:val="single" w:color="auto" w:sz="4" w:space="0"/>
            </w:tcBorders>
          </w:tcPr>
          <w:p w14:paraId="27DB459E">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20A75C6">
            <w:pPr>
              <w:widowControl/>
              <w:jc w:val="center"/>
              <w:rPr>
                <w:rFonts w:hint="eastAsia" w:ascii="宋体" w:hAnsi="宋体" w:cs="宋体"/>
                <w:kern w:val="0"/>
                <w:szCs w:val="21"/>
              </w:rPr>
            </w:pPr>
          </w:p>
        </w:tc>
      </w:tr>
      <w:tr w14:paraId="44F43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0287D811">
            <w:pPr>
              <w:widowControl/>
              <w:jc w:val="center"/>
              <w:rPr>
                <w:rFonts w:hint="eastAsia" w:ascii="宋体" w:hAnsi="宋体" w:cs="宋体"/>
                <w:kern w:val="0"/>
                <w:szCs w:val="21"/>
              </w:rPr>
            </w:pPr>
            <w:r>
              <w:rPr>
                <w:rFonts w:hint="eastAsia" w:ascii="宋体" w:hAnsi="宋体" w:cs="宋体"/>
                <w:kern w:val="0"/>
                <w:szCs w:val="21"/>
              </w:rPr>
              <w:t>16</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3078BF85">
            <w:pPr>
              <w:widowControl/>
              <w:jc w:val="center"/>
              <w:rPr>
                <w:rFonts w:hint="eastAsia" w:ascii="宋体" w:hAnsi="宋体" w:cs="宋体"/>
                <w:kern w:val="0"/>
                <w:szCs w:val="21"/>
              </w:rPr>
            </w:pPr>
            <w:r>
              <w:rPr>
                <w:rFonts w:hint="eastAsia" w:ascii="宋体" w:hAnsi="宋体" w:cs="宋体"/>
                <w:kern w:val="0"/>
                <w:szCs w:val="21"/>
              </w:rPr>
              <w:t>无线控制器</w:t>
            </w:r>
          </w:p>
        </w:tc>
        <w:tc>
          <w:tcPr>
            <w:tcW w:w="4339" w:type="dxa"/>
            <w:tcBorders>
              <w:top w:val="single" w:color="auto" w:sz="4" w:space="0"/>
              <w:left w:val="single" w:color="auto" w:sz="4" w:space="0"/>
              <w:bottom w:val="single" w:color="auto" w:sz="4" w:space="0"/>
              <w:right w:val="single" w:color="auto" w:sz="4" w:space="0"/>
            </w:tcBorders>
            <w:vAlign w:val="center"/>
          </w:tcPr>
          <w:p w14:paraId="235825C4">
            <w:pPr>
              <w:widowControl/>
              <w:jc w:val="left"/>
              <w:rPr>
                <w:rFonts w:hint="eastAsia" w:ascii="宋体" w:hAnsi="宋体" w:cs="宋体"/>
                <w:kern w:val="0"/>
                <w:szCs w:val="21"/>
              </w:rPr>
            </w:pPr>
            <w:r>
              <w:rPr>
                <w:rFonts w:hint="eastAsia" w:ascii="宋体" w:hAnsi="宋体" w:cs="宋体"/>
                <w:kern w:val="0"/>
                <w:szCs w:val="21"/>
              </w:rPr>
              <w:t>H3C WX5004-4端口千兆Combo无线控制器</w:t>
            </w:r>
          </w:p>
        </w:tc>
        <w:tc>
          <w:tcPr>
            <w:tcW w:w="823" w:type="dxa"/>
            <w:tcBorders>
              <w:top w:val="single" w:color="auto" w:sz="4" w:space="0"/>
              <w:left w:val="single" w:color="auto" w:sz="4" w:space="0"/>
              <w:bottom w:val="single" w:color="auto" w:sz="4" w:space="0"/>
              <w:right w:val="single" w:color="auto" w:sz="4" w:space="0"/>
            </w:tcBorders>
            <w:vAlign w:val="center"/>
          </w:tcPr>
          <w:p w14:paraId="07AD8F85">
            <w:pPr>
              <w:widowControl/>
              <w:jc w:val="center"/>
              <w:rPr>
                <w:rFonts w:hint="eastAsia" w:ascii="宋体" w:hAnsi="宋体" w:cs="宋体"/>
                <w:kern w:val="0"/>
                <w:szCs w:val="21"/>
              </w:rPr>
            </w:pPr>
            <w:r>
              <w:rPr>
                <w:rFonts w:hint="eastAsia" w:ascii="宋体" w:hAnsi="宋体" w:cs="宋体"/>
                <w:kern w:val="0"/>
                <w:szCs w:val="21"/>
              </w:rPr>
              <w:t>2 台</w:t>
            </w:r>
          </w:p>
        </w:tc>
        <w:tc>
          <w:tcPr>
            <w:tcW w:w="945" w:type="dxa"/>
            <w:tcBorders>
              <w:top w:val="single" w:color="auto" w:sz="4" w:space="0"/>
              <w:left w:val="single" w:color="auto" w:sz="4" w:space="0"/>
              <w:bottom w:val="single" w:color="auto" w:sz="4" w:space="0"/>
              <w:right w:val="single" w:color="auto" w:sz="4" w:space="0"/>
            </w:tcBorders>
          </w:tcPr>
          <w:p w14:paraId="2867A773">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B8FC138">
            <w:pPr>
              <w:widowControl/>
              <w:jc w:val="center"/>
              <w:rPr>
                <w:rFonts w:hint="eastAsia" w:ascii="宋体" w:hAnsi="宋体" w:cs="宋体"/>
                <w:kern w:val="0"/>
                <w:szCs w:val="21"/>
              </w:rPr>
            </w:pPr>
          </w:p>
        </w:tc>
      </w:tr>
      <w:tr w14:paraId="565A3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8FCBE0D">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4313F04F">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6EF6DCA4">
            <w:pPr>
              <w:widowControl/>
              <w:jc w:val="left"/>
              <w:rPr>
                <w:rFonts w:hint="eastAsia" w:ascii="宋体" w:hAnsi="宋体" w:cs="宋体"/>
                <w:kern w:val="0"/>
                <w:szCs w:val="21"/>
              </w:rPr>
            </w:pPr>
            <w:r>
              <w:rPr>
                <w:rFonts w:hint="eastAsia" w:ascii="宋体" w:hAnsi="宋体" w:cs="宋体"/>
                <w:kern w:val="0"/>
                <w:szCs w:val="21"/>
              </w:rPr>
              <w:t>150W 交流电源模块</w:t>
            </w:r>
          </w:p>
        </w:tc>
        <w:tc>
          <w:tcPr>
            <w:tcW w:w="823" w:type="dxa"/>
            <w:tcBorders>
              <w:top w:val="single" w:color="auto" w:sz="4" w:space="0"/>
              <w:left w:val="single" w:color="auto" w:sz="4" w:space="0"/>
              <w:bottom w:val="single" w:color="auto" w:sz="4" w:space="0"/>
              <w:right w:val="single" w:color="auto" w:sz="4" w:space="0"/>
            </w:tcBorders>
            <w:vAlign w:val="center"/>
          </w:tcPr>
          <w:p w14:paraId="0F7B6688">
            <w:pPr>
              <w:widowControl/>
              <w:jc w:val="center"/>
              <w:rPr>
                <w:rFonts w:hint="eastAsia" w:ascii="宋体" w:hAnsi="宋体" w:cs="宋体"/>
                <w:kern w:val="0"/>
                <w:szCs w:val="21"/>
              </w:rPr>
            </w:pPr>
            <w:r>
              <w:rPr>
                <w:rFonts w:hint="eastAsia" w:ascii="宋体" w:hAnsi="宋体" w:cs="宋体"/>
                <w:kern w:val="0"/>
                <w:szCs w:val="21"/>
              </w:rPr>
              <w:t>4 块</w:t>
            </w:r>
          </w:p>
        </w:tc>
        <w:tc>
          <w:tcPr>
            <w:tcW w:w="945" w:type="dxa"/>
            <w:tcBorders>
              <w:top w:val="single" w:color="auto" w:sz="4" w:space="0"/>
              <w:left w:val="single" w:color="auto" w:sz="4" w:space="0"/>
              <w:bottom w:val="single" w:color="auto" w:sz="4" w:space="0"/>
              <w:right w:val="single" w:color="auto" w:sz="4" w:space="0"/>
            </w:tcBorders>
          </w:tcPr>
          <w:p w14:paraId="0C193910">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EAEE37E">
            <w:pPr>
              <w:widowControl/>
              <w:jc w:val="center"/>
              <w:rPr>
                <w:rFonts w:hint="eastAsia" w:ascii="宋体" w:hAnsi="宋体" w:cs="宋体"/>
                <w:kern w:val="0"/>
                <w:szCs w:val="21"/>
              </w:rPr>
            </w:pPr>
          </w:p>
        </w:tc>
      </w:tr>
      <w:tr w14:paraId="7474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E6E3608">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451BBC6E">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54189489">
            <w:pPr>
              <w:widowControl/>
              <w:jc w:val="left"/>
              <w:rPr>
                <w:rFonts w:hint="eastAsia" w:ascii="宋体" w:hAnsi="宋体" w:cs="宋体"/>
                <w:kern w:val="0"/>
                <w:szCs w:val="21"/>
              </w:rPr>
            </w:pPr>
            <w:r>
              <w:rPr>
                <w:rFonts w:hint="eastAsia" w:ascii="宋体" w:hAnsi="宋体" w:cs="宋体"/>
                <w:kern w:val="0"/>
                <w:szCs w:val="21"/>
              </w:rPr>
              <w:t>高性能无线控制器license费用-管理32AP</w:t>
            </w:r>
          </w:p>
        </w:tc>
        <w:tc>
          <w:tcPr>
            <w:tcW w:w="823" w:type="dxa"/>
            <w:tcBorders>
              <w:top w:val="single" w:color="auto" w:sz="4" w:space="0"/>
              <w:left w:val="single" w:color="auto" w:sz="4" w:space="0"/>
              <w:bottom w:val="single" w:color="auto" w:sz="4" w:space="0"/>
              <w:right w:val="single" w:color="auto" w:sz="4" w:space="0"/>
            </w:tcBorders>
            <w:vAlign w:val="center"/>
          </w:tcPr>
          <w:p w14:paraId="4E073E09">
            <w:pPr>
              <w:widowControl/>
              <w:jc w:val="center"/>
              <w:rPr>
                <w:rFonts w:hint="eastAsia" w:ascii="宋体" w:hAnsi="宋体" w:cs="宋体"/>
                <w:kern w:val="0"/>
                <w:szCs w:val="21"/>
              </w:rPr>
            </w:pPr>
            <w:r>
              <w:rPr>
                <w:rFonts w:hint="eastAsia" w:ascii="宋体" w:hAnsi="宋体" w:cs="宋体"/>
                <w:kern w:val="0"/>
                <w:szCs w:val="21"/>
              </w:rPr>
              <w:t>4 套</w:t>
            </w:r>
          </w:p>
        </w:tc>
        <w:tc>
          <w:tcPr>
            <w:tcW w:w="945" w:type="dxa"/>
            <w:tcBorders>
              <w:top w:val="single" w:color="auto" w:sz="4" w:space="0"/>
              <w:left w:val="single" w:color="auto" w:sz="4" w:space="0"/>
              <w:bottom w:val="single" w:color="auto" w:sz="4" w:space="0"/>
              <w:right w:val="single" w:color="auto" w:sz="4" w:space="0"/>
            </w:tcBorders>
          </w:tcPr>
          <w:p w14:paraId="06E3B930">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94418B6">
            <w:pPr>
              <w:widowControl/>
              <w:jc w:val="center"/>
              <w:rPr>
                <w:rFonts w:hint="eastAsia" w:ascii="宋体" w:hAnsi="宋体" w:cs="宋体"/>
                <w:kern w:val="0"/>
                <w:szCs w:val="21"/>
              </w:rPr>
            </w:pPr>
          </w:p>
        </w:tc>
      </w:tr>
      <w:tr w14:paraId="32AE6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469E095A">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37D98A00">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2F9006B4">
            <w:pPr>
              <w:widowControl/>
              <w:jc w:val="left"/>
              <w:rPr>
                <w:rFonts w:hint="eastAsia" w:ascii="宋体" w:hAnsi="宋体" w:cs="宋体"/>
                <w:kern w:val="0"/>
                <w:szCs w:val="21"/>
              </w:rPr>
            </w:pPr>
            <w:r>
              <w:rPr>
                <w:rFonts w:hint="eastAsia" w:ascii="宋体" w:hAnsi="宋体" w:cs="宋体"/>
                <w:kern w:val="0"/>
                <w:szCs w:val="21"/>
              </w:rPr>
              <w:t>光模块-SFP-GE-多模模块-(850nm,0.55km,LC)</w:t>
            </w:r>
          </w:p>
        </w:tc>
        <w:tc>
          <w:tcPr>
            <w:tcW w:w="823" w:type="dxa"/>
            <w:tcBorders>
              <w:top w:val="single" w:color="auto" w:sz="4" w:space="0"/>
              <w:left w:val="single" w:color="auto" w:sz="4" w:space="0"/>
              <w:bottom w:val="single" w:color="auto" w:sz="4" w:space="0"/>
              <w:right w:val="single" w:color="auto" w:sz="4" w:space="0"/>
            </w:tcBorders>
            <w:vAlign w:val="center"/>
          </w:tcPr>
          <w:p w14:paraId="435E0606">
            <w:pPr>
              <w:widowControl/>
              <w:jc w:val="center"/>
              <w:rPr>
                <w:rFonts w:hint="eastAsia" w:ascii="宋体" w:hAnsi="宋体" w:cs="宋体"/>
                <w:kern w:val="0"/>
                <w:szCs w:val="21"/>
              </w:rPr>
            </w:pPr>
            <w:r>
              <w:rPr>
                <w:rFonts w:hint="eastAsia" w:ascii="宋体" w:hAnsi="宋体" w:cs="宋体"/>
                <w:kern w:val="0"/>
                <w:szCs w:val="21"/>
              </w:rPr>
              <w:t>4 个</w:t>
            </w:r>
          </w:p>
        </w:tc>
        <w:tc>
          <w:tcPr>
            <w:tcW w:w="945" w:type="dxa"/>
            <w:tcBorders>
              <w:top w:val="single" w:color="auto" w:sz="4" w:space="0"/>
              <w:left w:val="single" w:color="auto" w:sz="4" w:space="0"/>
              <w:bottom w:val="single" w:color="auto" w:sz="4" w:space="0"/>
              <w:right w:val="single" w:color="auto" w:sz="4" w:space="0"/>
            </w:tcBorders>
          </w:tcPr>
          <w:p w14:paraId="0919FDD5">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52B8C33">
            <w:pPr>
              <w:widowControl/>
              <w:jc w:val="center"/>
              <w:rPr>
                <w:rFonts w:hint="eastAsia" w:ascii="宋体" w:hAnsi="宋体" w:cs="宋体"/>
                <w:kern w:val="0"/>
                <w:szCs w:val="21"/>
              </w:rPr>
            </w:pPr>
          </w:p>
        </w:tc>
      </w:tr>
      <w:tr w14:paraId="6E3B0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67A7E47B">
            <w:pPr>
              <w:widowControl/>
              <w:jc w:val="center"/>
              <w:rPr>
                <w:rFonts w:hint="eastAsia" w:ascii="宋体" w:hAnsi="宋体" w:cs="宋体"/>
                <w:kern w:val="0"/>
                <w:szCs w:val="21"/>
              </w:rPr>
            </w:pPr>
            <w:r>
              <w:rPr>
                <w:rFonts w:hint="eastAsia" w:ascii="宋体" w:hAnsi="宋体" w:cs="宋体"/>
                <w:kern w:val="0"/>
                <w:szCs w:val="21"/>
              </w:rPr>
              <w:t>17</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2EF526A4">
            <w:pPr>
              <w:widowControl/>
              <w:jc w:val="center"/>
              <w:rPr>
                <w:rFonts w:hint="eastAsia" w:ascii="宋体" w:hAnsi="宋体" w:cs="宋体"/>
                <w:kern w:val="0"/>
                <w:szCs w:val="21"/>
              </w:rPr>
            </w:pPr>
            <w:r>
              <w:rPr>
                <w:rFonts w:hint="eastAsia" w:ascii="宋体" w:hAnsi="宋体" w:cs="宋体"/>
                <w:kern w:val="0"/>
                <w:szCs w:val="21"/>
              </w:rPr>
              <w:t>POE交换机</w:t>
            </w:r>
          </w:p>
        </w:tc>
        <w:tc>
          <w:tcPr>
            <w:tcW w:w="4339" w:type="dxa"/>
            <w:tcBorders>
              <w:top w:val="single" w:color="auto" w:sz="4" w:space="0"/>
              <w:left w:val="single" w:color="auto" w:sz="4" w:space="0"/>
              <w:bottom w:val="single" w:color="auto" w:sz="4" w:space="0"/>
              <w:right w:val="single" w:color="auto" w:sz="4" w:space="0"/>
            </w:tcBorders>
            <w:vAlign w:val="center"/>
          </w:tcPr>
          <w:p w14:paraId="0DD820E5">
            <w:pPr>
              <w:widowControl/>
              <w:jc w:val="left"/>
              <w:rPr>
                <w:rFonts w:hint="eastAsia" w:ascii="宋体" w:hAnsi="宋体" w:cs="宋体"/>
                <w:kern w:val="0"/>
                <w:szCs w:val="21"/>
              </w:rPr>
            </w:pPr>
            <w:r>
              <w:rPr>
                <w:rFonts w:hint="eastAsia" w:ascii="宋体" w:hAnsi="宋体" w:cs="宋体"/>
                <w:kern w:val="0"/>
                <w:szCs w:val="21"/>
              </w:rPr>
              <w:t>H3C S5120-28C-PWR-EI</w:t>
            </w:r>
          </w:p>
        </w:tc>
        <w:tc>
          <w:tcPr>
            <w:tcW w:w="823" w:type="dxa"/>
            <w:tcBorders>
              <w:top w:val="single" w:color="auto" w:sz="4" w:space="0"/>
              <w:left w:val="single" w:color="auto" w:sz="4" w:space="0"/>
              <w:bottom w:val="single" w:color="auto" w:sz="4" w:space="0"/>
              <w:right w:val="single" w:color="auto" w:sz="4" w:space="0"/>
            </w:tcBorders>
            <w:vAlign w:val="center"/>
          </w:tcPr>
          <w:p w14:paraId="3772B753">
            <w:pPr>
              <w:widowControl/>
              <w:jc w:val="center"/>
              <w:rPr>
                <w:rFonts w:hint="eastAsia" w:ascii="宋体" w:hAnsi="宋体" w:cs="宋体"/>
                <w:kern w:val="0"/>
                <w:szCs w:val="21"/>
              </w:rPr>
            </w:pPr>
            <w:r>
              <w:rPr>
                <w:rFonts w:hint="eastAsia" w:ascii="宋体" w:hAnsi="宋体" w:cs="宋体"/>
                <w:kern w:val="0"/>
                <w:szCs w:val="21"/>
              </w:rPr>
              <w:t>13 台</w:t>
            </w:r>
          </w:p>
        </w:tc>
        <w:tc>
          <w:tcPr>
            <w:tcW w:w="945" w:type="dxa"/>
            <w:tcBorders>
              <w:top w:val="single" w:color="auto" w:sz="4" w:space="0"/>
              <w:left w:val="single" w:color="auto" w:sz="4" w:space="0"/>
              <w:bottom w:val="single" w:color="auto" w:sz="4" w:space="0"/>
              <w:right w:val="single" w:color="auto" w:sz="4" w:space="0"/>
            </w:tcBorders>
          </w:tcPr>
          <w:p w14:paraId="46EFC597">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77C14E8">
            <w:pPr>
              <w:widowControl/>
              <w:jc w:val="center"/>
              <w:rPr>
                <w:rFonts w:hint="eastAsia" w:ascii="宋体" w:hAnsi="宋体" w:cs="宋体"/>
                <w:kern w:val="0"/>
                <w:szCs w:val="21"/>
              </w:rPr>
            </w:pPr>
          </w:p>
        </w:tc>
      </w:tr>
      <w:tr w14:paraId="53F17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A7F0642">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261FEEF7">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321F3D2B">
            <w:pPr>
              <w:widowControl/>
              <w:jc w:val="left"/>
              <w:rPr>
                <w:rFonts w:hint="eastAsia" w:ascii="宋体" w:hAnsi="宋体" w:cs="宋体"/>
                <w:kern w:val="0"/>
                <w:szCs w:val="21"/>
              </w:rPr>
            </w:pPr>
            <w:r>
              <w:rPr>
                <w:rFonts w:hint="eastAsia" w:ascii="宋体" w:hAnsi="宋体" w:cs="宋体"/>
                <w:kern w:val="0"/>
                <w:szCs w:val="21"/>
              </w:rPr>
              <w:t>光模块-SFP-GE-多模模块-(850nm,0.55km,LC)</w:t>
            </w:r>
          </w:p>
        </w:tc>
        <w:tc>
          <w:tcPr>
            <w:tcW w:w="823" w:type="dxa"/>
            <w:tcBorders>
              <w:top w:val="single" w:color="auto" w:sz="4" w:space="0"/>
              <w:left w:val="single" w:color="auto" w:sz="4" w:space="0"/>
              <w:bottom w:val="single" w:color="auto" w:sz="4" w:space="0"/>
              <w:right w:val="single" w:color="auto" w:sz="4" w:space="0"/>
            </w:tcBorders>
            <w:vAlign w:val="center"/>
          </w:tcPr>
          <w:p w14:paraId="737A6060">
            <w:pPr>
              <w:widowControl/>
              <w:jc w:val="center"/>
              <w:rPr>
                <w:rFonts w:hint="eastAsia" w:ascii="宋体" w:hAnsi="宋体" w:cs="宋体"/>
                <w:kern w:val="0"/>
                <w:szCs w:val="21"/>
              </w:rPr>
            </w:pPr>
            <w:r>
              <w:rPr>
                <w:rFonts w:hint="eastAsia" w:ascii="宋体" w:hAnsi="宋体" w:cs="宋体"/>
                <w:kern w:val="0"/>
                <w:szCs w:val="21"/>
              </w:rPr>
              <w:t>26 个</w:t>
            </w:r>
          </w:p>
        </w:tc>
        <w:tc>
          <w:tcPr>
            <w:tcW w:w="945" w:type="dxa"/>
            <w:tcBorders>
              <w:top w:val="single" w:color="auto" w:sz="4" w:space="0"/>
              <w:left w:val="single" w:color="auto" w:sz="4" w:space="0"/>
              <w:bottom w:val="single" w:color="auto" w:sz="4" w:space="0"/>
              <w:right w:val="single" w:color="auto" w:sz="4" w:space="0"/>
            </w:tcBorders>
          </w:tcPr>
          <w:p w14:paraId="38D04733">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94840FA">
            <w:pPr>
              <w:widowControl/>
              <w:jc w:val="center"/>
              <w:rPr>
                <w:rFonts w:hint="eastAsia" w:ascii="宋体" w:hAnsi="宋体" w:cs="宋体"/>
                <w:kern w:val="0"/>
                <w:szCs w:val="21"/>
              </w:rPr>
            </w:pPr>
          </w:p>
        </w:tc>
      </w:tr>
      <w:tr w14:paraId="1D71A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tcBorders>
              <w:top w:val="single" w:color="auto" w:sz="4" w:space="0"/>
              <w:left w:val="single" w:color="auto" w:sz="4" w:space="0"/>
              <w:bottom w:val="single" w:color="auto" w:sz="4" w:space="0"/>
              <w:right w:val="single" w:color="auto" w:sz="4" w:space="0"/>
            </w:tcBorders>
            <w:vAlign w:val="center"/>
          </w:tcPr>
          <w:p w14:paraId="721439EC">
            <w:pPr>
              <w:widowControl/>
              <w:jc w:val="center"/>
              <w:rPr>
                <w:rFonts w:hint="eastAsia" w:ascii="宋体" w:hAnsi="宋体" w:cs="宋体"/>
                <w:kern w:val="0"/>
                <w:szCs w:val="21"/>
              </w:rPr>
            </w:pPr>
            <w:r>
              <w:rPr>
                <w:rFonts w:hint="eastAsia" w:ascii="宋体" w:hAnsi="宋体" w:cs="宋体"/>
                <w:kern w:val="0"/>
                <w:szCs w:val="21"/>
              </w:rPr>
              <w:t>18</w:t>
            </w:r>
          </w:p>
        </w:tc>
        <w:tc>
          <w:tcPr>
            <w:tcW w:w="1473" w:type="dxa"/>
            <w:tcBorders>
              <w:top w:val="single" w:color="auto" w:sz="4" w:space="0"/>
              <w:left w:val="single" w:color="auto" w:sz="4" w:space="0"/>
              <w:bottom w:val="single" w:color="auto" w:sz="4" w:space="0"/>
              <w:right w:val="single" w:color="auto" w:sz="4" w:space="0"/>
            </w:tcBorders>
            <w:vAlign w:val="center"/>
          </w:tcPr>
          <w:p w14:paraId="0CFF03BB">
            <w:pPr>
              <w:widowControl/>
              <w:jc w:val="center"/>
              <w:rPr>
                <w:rFonts w:hint="eastAsia" w:ascii="宋体" w:hAnsi="宋体" w:cs="宋体"/>
                <w:kern w:val="0"/>
                <w:szCs w:val="21"/>
              </w:rPr>
            </w:pPr>
            <w:r>
              <w:rPr>
                <w:rFonts w:hint="eastAsia" w:ascii="宋体" w:hAnsi="宋体" w:cs="宋体"/>
                <w:kern w:val="0"/>
                <w:szCs w:val="21"/>
              </w:rPr>
              <w:t>无线接入点AP</w:t>
            </w:r>
          </w:p>
        </w:tc>
        <w:tc>
          <w:tcPr>
            <w:tcW w:w="4339" w:type="dxa"/>
            <w:tcBorders>
              <w:top w:val="single" w:color="auto" w:sz="4" w:space="0"/>
              <w:left w:val="single" w:color="auto" w:sz="4" w:space="0"/>
              <w:bottom w:val="single" w:color="auto" w:sz="4" w:space="0"/>
              <w:right w:val="single" w:color="auto" w:sz="4" w:space="0"/>
            </w:tcBorders>
            <w:vAlign w:val="center"/>
          </w:tcPr>
          <w:p w14:paraId="2E3ECD1D">
            <w:pPr>
              <w:widowControl/>
              <w:jc w:val="left"/>
              <w:rPr>
                <w:rFonts w:hint="eastAsia" w:ascii="宋体" w:hAnsi="宋体" w:cs="宋体"/>
                <w:kern w:val="0"/>
                <w:szCs w:val="21"/>
              </w:rPr>
            </w:pPr>
            <w:r>
              <w:rPr>
                <w:rFonts w:hint="eastAsia" w:ascii="宋体" w:hAnsi="宋体" w:cs="宋体"/>
                <w:kern w:val="0"/>
                <w:szCs w:val="21"/>
              </w:rPr>
              <w:t>H3C WA2620i-AGN-802.11n</w:t>
            </w:r>
          </w:p>
        </w:tc>
        <w:tc>
          <w:tcPr>
            <w:tcW w:w="823" w:type="dxa"/>
            <w:tcBorders>
              <w:top w:val="single" w:color="auto" w:sz="4" w:space="0"/>
              <w:left w:val="single" w:color="auto" w:sz="4" w:space="0"/>
              <w:bottom w:val="single" w:color="auto" w:sz="4" w:space="0"/>
              <w:right w:val="single" w:color="auto" w:sz="4" w:space="0"/>
            </w:tcBorders>
            <w:vAlign w:val="center"/>
          </w:tcPr>
          <w:p w14:paraId="3A4FA382">
            <w:pPr>
              <w:widowControl/>
              <w:jc w:val="center"/>
              <w:rPr>
                <w:rFonts w:hint="eastAsia" w:ascii="宋体" w:hAnsi="宋体" w:cs="宋体"/>
                <w:kern w:val="0"/>
                <w:szCs w:val="21"/>
              </w:rPr>
            </w:pPr>
            <w:r>
              <w:rPr>
                <w:rFonts w:hint="eastAsia" w:ascii="宋体" w:hAnsi="宋体" w:cs="宋体"/>
                <w:kern w:val="0"/>
                <w:szCs w:val="21"/>
              </w:rPr>
              <w:t>120 个</w:t>
            </w:r>
          </w:p>
        </w:tc>
        <w:tc>
          <w:tcPr>
            <w:tcW w:w="945" w:type="dxa"/>
            <w:tcBorders>
              <w:top w:val="single" w:color="auto" w:sz="4" w:space="0"/>
              <w:left w:val="single" w:color="auto" w:sz="4" w:space="0"/>
              <w:bottom w:val="single" w:color="auto" w:sz="4" w:space="0"/>
              <w:right w:val="single" w:color="auto" w:sz="4" w:space="0"/>
            </w:tcBorders>
          </w:tcPr>
          <w:p w14:paraId="1C408121">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1A68CBA">
            <w:pPr>
              <w:widowControl/>
              <w:jc w:val="center"/>
              <w:rPr>
                <w:rFonts w:hint="eastAsia" w:ascii="宋体" w:hAnsi="宋体" w:cs="宋体"/>
                <w:kern w:val="0"/>
                <w:szCs w:val="21"/>
              </w:rPr>
            </w:pPr>
          </w:p>
        </w:tc>
      </w:tr>
      <w:tr w14:paraId="2F02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2D5A8268">
            <w:pPr>
              <w:widowControl/>
              <w:jc w:val="center"/>
              <w:rPr>
                <w:rFonts w:hint="eastAsia" w:ascii="宋体" w:hAnsi="宋体" w:cs="宋体"/>
                <w:kern w:val="0"/>
                <w:szCs w:val="21"/>
              </w:rPr>
            </w:pPr>
            <w:r>
              <w:rPr>
                <w:rFonts w:hint="eastAsia" w:ascii="宋体" w:hAnsi="宋体" w:cs="宋体"/>
                <w:kern w:val="0"/>
                <w:szCs w:val="21"/>
              </w:rPr>
              <w:t>19</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04498B94">
            <w:pPr>
              <w:widowControl/>
              <w:jc w:val="center"/>
              <w:rPr>
                <w:rFonts w:hint="eastAsia" w:ascii="宋体" w:hAnsi="宋体" w:cs="宋体"/>
                <w:kern w:val="0"/>
                <w:szCs w:val="21"/>
              </w:rPr>
            </w:pPr>
            <w:r>
              <w:rPr>
                <w:rFonts w:hint="eastAsia" w:ascii="宋体" w:hAnsi="宋体" w:cs="宋体"/>
                <w:kern w:val="0"/>
                <w:szCs w:val="21"/>
              </w:rPr>
              <w:t>基础网络管理系统</w:t>
            </w:r>
          </w:p>
        </w:tc>
        <w:tc>
          <w:tcPr>
            <w:tcW w:w="4339" w:type="dxa"/>
            <w:tcBorders>
              <w:top w:val="single" w:color="auto" w:sz="4" w:space="0"/>
              <w:left w:val="single" w:color="auto" w:sz="4" w:space="0"/>
              <w:bottom w:val="single" w:color="auto" w:sz="4" w:space="0"/>
              <w:right w:val="single" w:color="auto" w:sz="4" w:space="0"/>
            </w:tcBorders>
            <w:vAlign w:val="center"/>
          </w:tcPr>
          <w:p w14:paraId="147C5E4C">
            <w:pPr>
              <w:widowControl/>
              <w:jc w:val="left"/>
              <w:rPr>
                <w:rFonts w:hint="eastAsia" w:ascii="宋体" w:hAnsi="宋体" w:cs="宋体"/>
                <w:kern w:val="0"/>
                <w:szCs w:val="21"/>
              </w:rPr>
            </w:pPr>
            <w:r>
              <w:rPr>
                <w:rFonts w:hint="eastAsia" w:ascii="宋体" w:hAnsi="宋体" w:cs="宋体"/>
                <w:kern w:val="0"/>
                <w:szCs w:val="21"/>
              </w:rPr>
              <w:t xml:space="preserve">智能网络管理硬件平台-R390 </w:t>
            </w:r>
          </w:p>
        </w:tc>
        <w:tc>
          <w:tcPr>
            <w:tcW w:w="823" w:type="dxa"/>
            <w:tcBorders>
              <w:top w:val="single" w:color="auto" w:sz="4" w:space="0"/>
              <w:left w:val="single" w:color="auto" w:sz="4" w:space="0"/>
              <w:bottom w:val="single" w:color="auto" w:sz="4" w:space="0"/>
              <w:right w:val="single" w:color="auto" w:sz="4" w:space="0"/>
            </w:tcBorders>
            <w:vAlign w:val="center"/>
          </w:tcPr>
          <w:p w14:paraId="023A3F90">
            <w:pPr>
              <w:widowControl/>
              <w:jc w:val="center"/>
              <w:rPr>
                <w:rFonts w:hint="eastAsia" w:ascii="宋体" w:hAnsi="宋体" w:cs="宋体"/>
                <w:kern w:val="0"/>
                <w:szCs w:val="21"/>
              </w:rPr>
            </w:pPr>
            <w:r>
              <w:rPr>
                <w:rFonts w:hint="eastAsia" w:ascii="宋体" w:hAnsi="宋体" w:cs="宋体"/>
                <w:kern w:val="0"/>
                <w:szCs w:val="21"/>
              </w:rPr>
              <w:t>1 台</w:t>
            </w:r>
          </w:p>
        </w:tc>
        <w:tc>
          <w:tcPr>
            <w:tcW w:w="945" w:type="dxa"/>
            <w:tcBorders>
              <w:top w:val="single" w:color="auto" w:sz="4" w:space="0"/>
              <w:left w:val="single" w:color="auto" w:sz="4" w:space="0"/>
              <w:bottom w:val="single" w:color="auto" w:sz="4" w:space="0"/>
              <w:right w:val="single" w:color="auto" w:sz="4" w:space="0"/>
            </w:tcBorders>
          </w:tcPr>
          <w:p w14:paraId="0FA52266">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D25678A">
            <w:pPr>
              <w:widowControl/>
              <w:jc w:val="center"/>
              <w:rPr>
                <w:rFonts w:hint="eastAsia" w:ascii="宋体" w:hAnsi="宋体" w:cs="宋体"/>
                <w:kern w:val="0"/>
                <w:szCs w:val="21"/>
              </w:rPr>
            </w:pPr>
          </w:p>
        </w:tc>
      </w:tr>
      <w:tr w14:paraId="2C3EC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7C624321">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60B646B7">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BC3D2E4">
            <w:pPr>
              <w:widowControl/>
              <w:jc w:val="left"/>
              <w:rPr>
                <w:rFonts w:hint="eastAsia" w:ascii="宋体" w:hAnsi="宋体" w:cs="宋体"/>
                <w:kern w:val="0"/>
                <w:szCs w:val="21"/>
              </w:rPr>
            </w:pPr>
            <w:r>
              <w:rPr>
                <w:rFonts w:hint="eastAsia" w:ascii="宋体" w:hAnsi="宋体" w:cs="宋体"/>
                <w:kern w:val="0"/>
                <w:szCs w:val="21"/>
              </w:rPr>
              <w:t>H3C iMC-智能管理平台标准版(不含节点)-纯软件(DVD)</w:t>
            </w:r>
          </w:p>
        </w:tc>
        <w:tc>
          <w:tcPr>
            <w:tcW w:w="823" w:type="dxa"/>
            <w:tcBorders>
              <w:top w:val="single" w:color="auto" w:sz="4" w:space="0"/>
              <w:left w:val="single" w:color="auto" w:sz="4" w:space="0"/>
              <w:bottom w:val="single" w:color="auto" w:sz="4" w:space="0"/>
              <w:right w:val="single" w:color="auto" w:sz="4" w:space="0"/>
            </w:tcBorders>
            <w:vAlign w:val="center"/>
          </w:tcPr>
          <w:p w14:paraId="327E4AB2">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32046EA6">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F15A3EE">
            <w:pPr>
              <w:widowControl/>
              <w:jc w:val="center"/>
              <w:rPr>
                <w:rFonts w:hint="eastAsia" w:ascii="宋体" w:hAnsi="宋体" w:cs="宋体"/>
                <w:kern w:val="0"/>
                <w:szCs w:val="21"/>
              </w:rPr>
            </w:pPr>
          </w:p>
        </w:tc>
      </w:tr>
      <w:tr w14:paraId="545AE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7EACBED1">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44216325">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FE548CC">
            <w:pPr>
              <w:widowControl/>
              <w:jc w:val="left"/>
              <w:rPr>
                <w:rFonts w:hint="eastAsia" w:ascii="宋体" w:hAnsi="宋体" w:cs="宋体"/>
                <w:kern w:val="0"/>
                <w:szCs w:val="21"/>
              </w:rPr>
            </w:pPr>
            <w:r>
              <w:rPr>
                <w:rFonts w:hint="eastAsia" w:ascii="宋体" w:hAnsi="宋体" w:cs="宋体"/>
                <w:kern w:val="0"/>
                <w:szCs w:val="21"/>
              </w:rPr>
              <w:t>H3C iMC-智能管理平台标准版管理50节点License</w:t>
            </w:r>
          </w:p>
        </w:tc>
        <w:tc>
          <w:tcPr>
            <w:tcW w:w="823" w:type="dxa"/>
            <w:tcBorders>
              <w:top w:val="single" w:color="auto" w:sz="4" w:space="0"/>
              <w:left w:val="single" w:color="auto" w:sz="4" w:space="0"/>
              <w:bottom w:val="single" w:color="auto" w:sz="4" w:space="0"/>
              <w:right w:val="single" w:color="auto" w:sz="4" w:space="0"/>
            </w:tcBorders>
            <w:vAlign w:val="center"/>
          </w:tcPr>
          <w:p w14:paraId="2A26A974">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283F9DD6">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B96D44A">
            <w:pPr>
              <w:widowControl/>
              <w:jc w:val="center"/>
              <w:rPr>
                <w:rFonts w:hint="eastAsia" w:ascii="宋体" w:hAnsi="宋体" w:cs="宋体"/>
                <w:kern w:val="0"/>
                <w:szCs w:val="21"/>
              </w:rPr>
            </w:pPr>
          </w:p>
        </w:tc>
      </w:tr>
      <w:tr w14:paraId="44BE6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3D8B4FFD">
            <w:pPr>
              <w:widowControl/>
              <w:jc w:val="center"/>
              <w:rPr>
                <w:rFonts w:hint="eastAsia" w:ascii="宋体" w:hAnsi="宋体" w:cs="宋体"/>
                <w:kern w:val="0"/>
                <w:szCs w:val="21"/>
              </w:rPr>
            </w:pPr>
            <w:r>
              <w:rPr>
                <w:rFonts w:hint="eastAsia" w:ascii="宋体" w:hAnsi="宋体" w:cs="宋体"/>
                <w:kern w:val="0"/>
                <w:szCs w:val="21"/>
              </w:rPr>
              <w:t>20</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2488631F">
            <w:pPr>
              <w:widowControl/>
              <w:jc w:val="center"/>
              <w:rPr>
                <w:rFonts w:hint="eastAsia" w:ascii="宋体" w:hAnsi="宋体" w:cs="宋体"/>
                <w:kern w:val="0"/>
                <w:szCs w:val="21"/>
              </w:rPr>
            </w:pPr>
            <w:r>
              <w:rPr>
                <w:rFonts w:hint="eastAsia" w:ascii="宋体" w:hAnsi="宋体" w:cs="宋体"/>
                <w:kern w:val="0"/>
                <w:szCs w:val="21"/>
              </w:rPr>
              <w:t>无线网络管理系统管理</w:t>
            </w:r>
          </w:p>
        </w:tc>
        <w:tc>
          <w:tcPr>
            <w:tcW w:w="4339" w:type="dxa"/>
            <w:tcBorders>
              <w:top w:val="single" w:color="auto" w:sz="4" w:space="0"/>
              <w:left w:val="single" w:color="auto" w:sz="4" w:space="0"/>
              <w:bottom w:val="single" w:color="auto" w:sz="4" w:space="0"/>
              <w:right w:val="single" w:color="auto" w:sz="4" w:space="0"/>
            </w:tcBorders>
            <w:vAlign w:val="center"/>
          </w:tcPr>
          <w:p w14:paraId="1F4F574F">
            <w:pPr>
              <w:widowControl/>
              <w:jc w:val="left"/>
              <w:rPr>
                <w:rFonts w:hint="eastAsia" w:ascii="宋体" w:hAnsi="宋体" w:cs="宋体"/>
                <w:kern w:val="0"/>
                <w:szCs w:val="21"/>
              </w:rPr>
            </w:pPr>
            <w:r>
              <w:rPr>
                <w:rFonts w:hint="eastAsia" w:ascii="宋体" w:hAnsi="宋体" w:cs="宋体"/>
                <w:kern w:val="0"/>
                <w:szCs w:val="21"/>
              </w:rPr>
              <w:t>H3C iMC-WSM无线业务管理组件</w:t>
            </w:r>
          </w:p>
        </w:tc>
        <w:tc>
          <w:tcPr>
            <w:tcW w:w="823" w:type="dxa"/>
            <w:tcBorders>
              <w:top w:val="single" w:color="auto" w:sz="4" w:space="0"/>
              <w:left w:val="single" w:color="auto" w:sz="4" w:space="0"/>
              <w:bottom w:val="single" w:color="auto" w:sz="4" w:space="0"/>
              <w:right w:val="single" w:color="auto" w:sz="4" w:space="0"/>
            </w:tcBorders>
            <w:vAlign w:val="center"/>
          </w:tcPr>
          <w:p w14:paraId="41D52A45">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29C3783A">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AE816C5">
            <w:pPr>
              <w:widowControl/>
              <w:jc w:val="center"/>
              <w:rPr>
                <w:rFonts w:hint="eastAsia" w:ascii="宋体" w:hAnsi="宋体" w:cs="宋体"/>
                <w:kern w:val="0"/>
                <w:szCs w:val="21"/>
              </w:rPr>
            </w:pPr>
          </w:p>
        </w:tc>
      </w:tr>
      <w:tr w14:paraId="56B4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5825F887">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43BC314E">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25BC4425">
            <w:pPr>
              <w:widowControl/>
              <w:jc w:val="left"/>
              <w:rPr>
                <w:rFonts w:hint="eastAsia" w:ascii="宋体" w:hAnsi="宋体" w:cs="宋体"/>
                <w:kern w:val="0"/>
                <w:szCs w:val="21"/>
              </w:rPr>
            </w:pPr>
            <w:r>
              <w:rPr>
                <w:rFonts w:hint="eastAsia" w:ascii="宋体" w:hAnsi="宋体" w:cs="宋体"/>
                <w:kern w:val="0"/>
                <w:szCs w:val="21"/>
              </w:rPr>
              <w:t xml:space="preserve">H3C iMC-WSM无线业务管理组件管理200台Fit AP设备License </w:t>
            </w:r>
          </w:p>
        </w:tc>
        <w:tc>
          <w:tcPr>
            <w:tcW w:w="823" w:type="dxa"/>
            <w:tcBorders>
              <w:top w:val="single" w:color="auto" w:sz="4" w:space="0"/>
              <w:left w:val="single" w:color="auto" w:sz="4" w:space="0"/>
              <w:bottom w:val="single" w:color="auto" w:sz="4" w:space="0"/>
              <w:right w:val="single" w:color="auto" w:sz="4" w:space="0"/>
            </w:tcBorders>
            <w:vAlign w:val="center"/>
          </w:tcPr>
          <w:p w14:paraId="428F0BDE">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04C727FB">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675583F9">
            <w:pPr>
              <w:widowControl/>
              <w:jc w:val="center"/>
              <w:rPr>
                <w:rFonts w:hint="eastAsia" w:ascii="宋体" w:hAnsi="宋体" w:cs="宋体"/>
                <w:kern w:val="0"/>
                <w:szCs w:val="21"/>
              </w:rPr>
            </w:pPr>
          </w:p>
        </w:tc>
      </w:tr>
      <w:tr w14:paraId="16CD9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restart"/>
            <w:tcBorders>
              <w:top w:val="single" w:color="auto" w:sz="4" w:space="0"/>
              <w:left w:val="single" w:color="auto" w:sz="4" w:space="0"/>
              <w:bottom w:val="single" w:color="auto" w:sz="4" w:space="0"/>
              <w:right w:val="single" w:color="auto" w:sz="4" w:space="0"/>
            </w:tcBorders>
            <w:vAlign w:val="center"/>
          </w:tcPr>
          <w:p w14:paraId="74DD536D">
            <w:pPr>
              <w:widowControl/>
              <w:jc w:val="center"/>
              <w:rPr>
                <w:rFonts w:hint="eastAsia" w:ascii="宋体" w:hAnsi="宋体" w:cs="宋体"/>
                <w:kern w:val="0"/>
                <w:szCs w:val="21"/>
              </w:rPr>
            </w:pPr>
            <w:r>
              <w:rPr>
                <w:rFonts w:hint="eastAsia" w:ascii="宋体" w:hAnsi="宋体" w:cs="宋体"/>
                <w:kern w:val="0"/>
                <w:szCs w:val="21"/>
              </w:rPr>
              <w:t>21</w:t>
            </w:r>
          </w:p>
        </w:tc>
        <w:tc>
          <w:tcPr>
            <w:tcW w:w="1473" w:type="dxa"/>
            <w:vMerge w:val="restart"/>
            <w:tcBorders>
              <w:top w:val="single" w:color="auto" w:sz="4" w:space="0"/>
              <w:left w:val="single" w:color="auto" w:sz="4" w:space="0"/>
              <w:bottom w:val="single" w:color="auto" w:sz="4" w:space="0"/>
              <w:right w:val="single" w:color="auto" w:sz="4" w:space="0"/>
            </w:tcBorders>
            <w:vAlign w:val="center"/>
          </w:tcPr>
          <w:p w14:paraId="69D67468">
            <w:pPr>
              <w:widowControl/>
              <w:jc w:val="center"/>
              <w:rPr>
                <w:rFonts w:hint="eastAsia" w:ascii="宋体" w:hAnsi="宋体" w:cs="宋体"/>
                <w:kern w:val="0"/>
                <w:szCs w:val="21"/>
              </w:rPr>
            </w:pPr>
            <w:r>
              <w:rPr>
                <w:rFonts w:hint="eastAsia" w:ascii="宋体" w:hAnsi="宋体" w:cs="宋体"/>
                <w:kern w:val="0"/>
                <w:szCs w:val="21"/>
              </w:rPr>
              <w:t>用户接入认证系统</w:t>
            </w:r>
          </w:p>
        </w:tc>
        <w:tc>
          <w:tcPr>
            <w:tcW w:w="4339" w:type="dxa"/>
            <w:tcBorders>
              <w:top w:val="single" w:color="auto" w:sz="4" w:space="0"/>
              <w:left w:val="single" w:color="auto" w:sz="4" w:space="0"/>
              <w:bottom w:val="single" w:color="auto" w:sz="4" w:space="0"/>
              <w:right w:val="single" w:color="auto" w:sz="4" w:space="0"/>
            </w:tcBorders>
            <w:vAlign w:val="center"/>
          </w:tcPr>
          <w:p w14:paraId="633CA4B4">
            <w:pPr>
              <w:widowControl/>
              <w:jc w:val="left"/>
              <w:rPr>
                <w:rFonts w:hint="eastAsia" w:ascii="宋体" w:hAnsi="宋体" w:cs="宋体"/>
                <w:kern w:val="0"/>
                <w:szCs w:val="21"/>
              </w:rPr>
            </w:pPr>
            <w:r>
              <w:rPr>
                <w:rFonts w:hint="eastAsia" w:ascii="宋体" w:hAnsi="宋体" w:cs="宋体"/>
                <w:kern w:val="0"/>
                <w:szCs w:val="21"/>
              </w:rPr>
              <w:t>H3C iMC-EIA终端智能接入组件</w:t>
            </w:r>
          </w:p>
        </w:tc>
        <w:tc>
          <w:tcPr>
            <w:tcW w:w="823" w:type="dxa"/>
            <w:tcBorders>
              <w:top w:val="single" w:color="auto" w:sz="4" w:space="0"/>
              <w:left w:val="single" w:color="auto" w:sz="4" w:space="0"/>
              <w:bottom w:val="single" w:color="auto" w:sz="4" w:space="0"/>
              <w:right w:val="single" w:color="auto" w:sz="4" w:space="0"/>
            </w:tcBorders>
            <w:vAlign w:val="center"/>
          </w:tcPr>
          <w:p w14:paraId="28876EF3">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6EB826C8">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9B4C3F0">
            <w:pPr>
              <w:widowControl/>
              <w:jc w:val="center"/>
              <w:rPr>
                <w:rFonts w:hint="eastAsia" w:ascii="宋体" w:hAnsi="宋体" w:cs="宋体"/>
                <w:kern w:val="0"/>
                <w:szCs w:val="21"/>
              </w:rPr>
            </w:pPr>
          </w:p>
        </w:tc>
      </w:tr>
      <w:tr w14:paraId="40DA7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68FEF9DF">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18C4C5FE">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4FEC5CEA">
            <w:pPr>
              <w:widowControl/>
              <w:jc w:val="left"/>
              <w:rPr>
                <w:rFonts w:hint="eastAsia" w:ascii="宋体" w:hAnsi="宋体" w:cs="宋体"/>
                <w:kern w:val="0"/>
                <w:szCs w:val="21"/>
              </w:rPr>
            </w:pPr>
            <w:r>
              <w:rPr>
                <w:rFonts w:hint="eastAsia" w:ascii="宋体" w:hAnsi="宋体" w:cs="宋体"/>
                <w:kern w:val="0"/>
                <w:szCs w:val="21"/>
              </w:rPr>
              <w:t>H3C iMC-EIA终端智能接入组件-50 License</w:t>
            </w:r>
          </w:p>
        </w:tc>
        <w:tc>
          <w:tcPr>
            <w:tcW w:w="823" w:type="dxa"/>
            <w:tcBorders>
              <w:top w:val="single" w:color="auto" w:sz="4" w:space="0"/>
              <w:left w:val="single" w:color="auto" w:sz="4" w:space="0"/>
              <w:bottom w:val="single" w:color="auto" w:sz="4" w:space="0"/>
              <w:right w:val="single" w:color="auto" w:sz="4" w:space="0"/>
            </w:tcBorders>
            <w:vAlign w:val="center"/>
          </w:tcPr>
          <w:p w14:paraId="39B56D53">
            <w:pPr>
              <w:widowControl/>
              <w:jc w:val="center"/>
              <w:rPr>
                <w:rFonts w:hint="eastAsia" w:ascii="宋体" w:hAnsi="宋体" w:cs="宋体"/>
                <w:kern w:val="0"/>
                <w:szCs w:val="21"/>
              </w:rPr>
            </w:pPr>
            <w:r>
              <w:rPr>
                <w:rFonts w:hint="eastAsia" w:ascii="宋体" w:hAnsi="宋体" w:cs="宋体"/>
                <w:kern w:val="0"/>
                <w:szCs w:val="21"/>
              </w:rPr>
              <w:t>2 套</w:t>
            </w:r>
          </w:p>
        </w:tc>
        <w:tc>
          <w:tcPr>
            <w:tcW w:w="945" w:type="dxa"/>
            <w:tcBorders>
              <w:top w:val="single" w:color="auto" w:sz="4" w:space="0"/>
              <w:left w:val="single" w:color="auto" w:sz="4" w:space="0"/>
              <w:bottom w:val="single" w:color="auto" w:sz="4" w:space="0"/>
              <w:right w:val="single" w:color="auto" w:sz="4" w:space="0"/>
            </w:tcBorders>
          </w:tcPr>
          <w:p w14:paraId="002FEDB6">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9BF0974">
            <w:pPr>
              <w:widowControl/>
              <w:jc w:val="center"/>
              <w:rPr>
                <w:rFonts w:hint="eastAsia" w:ascii="宋体" w:hAnsi="宋体" w:cs="宋体"/>
                <w:kern w:val="0"/>
                <w:szCs w:val="21"/>
              </w:rPr>
            </w:pPr>
          </w:p>
        </w:tc>
      </w:tr>
      <w:tr w14:paraId="1C54A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642" w:type="dxa"/>
            <w:vMerge w:val="continue"/>
            <w:tcBorders>
              <w:top w:val="single" w:color="auto" w:sz="4" w:space="0"/>
              <w:left w:val="single" w:color="auto" w:sz="4" w:space="0"/>
              <w:bottom w:val="single" w:color="auto" w:sz="4" w:space="0"/>
              <w:right w:val="single" w:color="auto" w:sz="4" w:space="0"/>
            </w:tcBorders>
            <w:vAlign w:val="center"/>
          </w:tcPr>
          <w:p w14:paraId="176DF5F2">
            <w:pPr>
              <w:widowControl/>
              <w:jc w:val="left"/>
              <w:rPr>
                <w:rFonts w:hint="eastAsia" w:ascii="宋体" w:hAnsi="宋体" w:cs="宋体"/>
                <w:kern w:val="0"/>
                <w:szCs w:val="21"/>
              </w:rPr>
            </w:pPr>
          </w:p>
        </w:tc>
        <w:tc>
          <w:tcPr>
            <w:tcW w:w="1473" w:type="dxa"/>
            <w:vMerge w:val="continue"/>
            <w:tcBorders>
              <w:top w:val="single" w:color="auto" w:sz="4" w:space="0"/>
              <w:left w:val="single" w:color="auto" w:sz="4" w:space="0"/>
              <w:bottom w:val="single" w:color="auto" w:sz="4" w:space="0"/>
              <w:right w:val="single" w:color="auto" w:sz="4" w:space="0"/>
            </w:tcBorders>
            <w:vAlign w:val="center"/>
          </w:tcPr>
          <w:p w14:paraId="70810700">
            <w:pPr>
              <w:widowControl/>
              <w:jc w:val="left"/>
              <w:rPr>
                <w:rFonts w:hint="eastAsia" w:ascii="宋体" w:hAnsi="宋体" w:cs="宋体"/>
                <w:kern w:val="0"/>
                <w:szCs w:val="21"/>
              </w:rPr>
            </w:pPr>
          </w:p>
        </w:tc>
        <w:tc>
          <w:tcPr>
            <w:tcW w:w="4339" w:type="dxa"/>
            <w:tcBorders>
              <w:top w:val="single" w:color="auto" w:sz="4" w:space="0"/>
              <w:left w:val="single" w:color="auto" w:sz="4" w:space="0"/>
              <w:bottom w:val="single" w:color="auto" w:sz="4" w:space="0"/>
              <w:right w:val="single" w:color="auto" w:sz="4" w:space="0"/>
            </w:tcBorders>
            <w:vAlign w:val="center"/>
          </w:tcPr>
          <w:p w14:paraId="20F66CC9">
            <w:pPr>
              <w:widowControl/>
              <w:jc w:val="left"/>
              <w:rPr>
                <w:rFonts w:hint="eastAsia" w:ascii="宋体" w:hAnsi="宋体" w:cs="宋体"/>
                <w:kern w:val="0"/>
                <w:szCs w:val="21"/>
              </w:rPr>
            </w:pPr>
            <w:r>
              <w:rPr>
                <w:rFonts w:hint="eastAsia" w:ascii="宋体" w:hAnsi="宋体" w:cs="宋体"/>
                <w:kern w:val="0"/>
                <w:szCs w:val="21"/>
              </w:rPr>
              <w:t>H3C iMC-EIA终端智能接入组件-500 License</w:t>
            </w:r>
          </w:p>
        </w:tc>
        <w:tc>
          <w:tcPr>
            <w:tcW w:w="823" w:type="dxa"/>
            <w:tcBorders>
              <w:top w:val="single" w:color="auto" w:sz="4" w:space="0"/>
              <w:left w:val="single" w:color="auto" w:sz="4" w:space="0"/>
              <w:bottom w:val="single" w:color="auto" w:sz="4" w:space="0"/>
              <w:right w:val="single" w:color="auto" w:sz="4" w:space="0"/>
            </w:tcBorders>
            <w:vAlign w:val="center"/>
          </w:tcPr>
          <w:p w14:paraId="28B81025">
            <w:pPr>
              <w:widowControl/>
              <w:jc w:val="center"/>
              <w:rPr>
                <w:rFonts w:hint="eastAsia" w:ascii="宋体" w:hAnsi="宋体" w:cs="宋体"/>
                <w:kern w:val="0"/>
                <w:szCs w:val="21"/>
              </w:rPr>
            </w:pPr>
            <w:r>
              <w:rPr>
                <w:rFonts w:hint="eastAsia" w:ascii="宋体" w:hAnsi="宋体" w:cs="宋体"/>
                <w:kern w:val="0"/>
                <w:szCs w:val="21"/>
              </w:rPr>
              <w:t>1 套</w:t>
            </w:r>
          </w:p>
        </w:tc>
        <w:tc>
          <w:tcPr>
            <w:tcW w:w="945" w:type="dxa"/>
            <w:tcBorders>
              <w:top w:val="single" w:color="auto" w:sz="4" w:space="0"/>
              <w:left w:val="single" w:color="auto" w:sz="4" w:space="0"/>
              <w:bottom w:val="single" w:color="auto" w:sz="4" w:space="0"/>
              <w:right w:val="single" w:color="auto" w:sz="4" w:space="0"/>
            </w:tcBorders>
          </w:tcPr>
          <w:p w14:paraId="38502CF7">
            <w:pPr>
              <w:widowControl/>
              <w:jc w:val="center"/>
              <w:rPr>
                <w:rFonts w:hint="eastAsia" w:ascii="宋体" w:hAnsi="宋体" w:cs="宋体"/>
                <w:kern w:val="0"/>
                <w:szCs w:val="21"/>
              </w:rPr>
            </w:pPr>
          </w:p>
        </w:tc>
        <w:tc>
          <w:tcPr>
            <w:tcW w:w="850" w:type="dxa"/>
            <w:tcBorders>
              <w:top w:val="single" w:color="auto" w:sz="4" w:space="0"/>
              <w:left w:val="single" w:color="auto" w:sz="4" w:space="0"/>
              <w:bottom w:val="single" w:color="auto" w:sz="4" w:space="0"/>
              <w:right w:val="single" w:color="auto" w:sz="4" w:space="0"/>
            </w:tcBorders>
          </w:tcPr>
          <w:p w14:paraId="76D9CB2E">
            <w:pPr>
              <w:widowControl/>
              <w:jc w:val="center"/>
              <w:rPr>
                <w:rFonts w:hint="eastAsia" w:ascii="宋体" w:hAnsi="宋体" w:cs="宋体"/>
                <w:kern w:val="0"/>
                <w:szCs w:val="21"/>
              </w:rPr>
            </w:pPr>
          </w:p>
        </w:tc>
      </w:tr>
      <w:tr w14:paraId="0C209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trPr>
        <w:tc>
          <w:tcPr>
            <w:tcW w:w="642" w:type="dxa"/>
            <w:tcBorders>
              <w:top w:val="single" w:color="auto" w:sz="4" w:space="0"/>
              <w:left w:val="single" w:color="auto" w:sz="4" w:space="0"/>
              <w:bottom w:val="single" w:color="auto" w:sz="4" w:space="0"/>
              <w:right w:val="single" w:color="auto" w:sz="4" w:space="0"/>
            </w:tcBorders>
            <w:vAlign w:val="center"/>
          </w:tcPr>
          <w:p w14:paraId="759FBFA5">
            <w:pPr>
              <w:jc w:val="center"/>
              <w:rPr>
                <w:rFonts w:hint="eastAsia" w:ascii="宋体" w:hAnsi="宋体" w:cs="Courier New"/>
                <w:kern w:val="0"/>
                <w:szCs w:val="21"/>
              </w:rPr>
            </w:pPr>
            <w:r>
              <w:rPr>
                <w:rFonts w:hint="eastAsia" w:ascii="宋体" w:hAnsi="宋体" w:cs="Courier New"/>
                <w:kern w:val="0"/>
                <w:szCs w:val="21"/>
              </w:rPr>
              <w:t>22</w:t>
            </w:r>
          </w:p>
        </w:tc>
        <w:tc>
          <w:tcPr>
            <w:tcW w:w="1473" w:type="dxa"/>
            <w:tcBorders>
              <w:top w:val="single" w:color="auto" w:sz="4" w:space="0"/>
              <w:left w:val="single" w:color="auto" w:sz="4" w:space="0"/>
              <w:bottom w:val="single" w:color="auto" w:sz="4" w:space="0"/>
              <w:right w:val="single" w:color="auto" w:sz="4" w:space="0"/>
            </w:tcBorders>
            <w:vAlign w:val="center"/>
          </w:tcPr>
          <w:p w14:paraId="0C882444">
            <w:pPr>
              <w:jc w:val="center"/>
              <w:rPr>
                <w:rFonts w:hint="eastAsia" w:ascii="宋体" w:hAnsi="宋体" w:cs="Courier New"/>
                <w:kern w:val="0"/>
                <w:szCs w:val="21"/>
              </w:rPr>
            </w:pPr>
            <w:r>
              <w:rPr>
                <w:rFonts w:hint="eastAsia" w:ascii="宋体" w:hAnsi="宋体" w:cs="Courier New"/>
                <w:kern w:val="0"/>
                <w:szCs w:val="21"/>
              </w:rPr>
              <w:t>虚拟化软件运维服务</w:t>
            </w:r>
          </w:p>
        </w:tc>
        <w:tc>
          <w:tcPr>
            <w:tcW w:w="4339" w:type="dxa"/>
            <w:tcBorders>
              <w:top w:val="single" w:color="auto" w:sz="4" w:space="0"/>
              <w:left w:val="single" w:color="auto" w:sz="4" w:space="0"/>
              <w:bottom w:val="single" w:color="auto" w:sz="4" w:space="0"/>
              <w:right w:val="single" w:color="auto" w:sz="4" w:space="0"/>
            </w:tcBorders>
            <w:vAlign w:val="center"/>
          </w:tcPr>
          <w:p w14:paraId="5DE3F9FA">
            <w:pPr>
              <w:jc w:val="left"/>
              <w:rPr>
                <w:rFonts w:hint="eastAsia" w:ascii="宋体" w:hAnsi="宋体" w:cs="Courier New"/>
                <w:kern w:val="0"/>
                <w:szCs w:val="21"/>
              </w:rPr>
            </w:pPr>
            <w:r>
              <w:rPr>
                <w:rFonts w:hint="eastAsia" w:ascii="宋体" w:hAnsi="宋体" w:cs="Courier New"/>
                <w:kern w:val="0"/>
                <w:szCs w:val="21"/>
              </w:rPr>
              <w:t>现有服务器虚拟化及虚拟化桌面及的日常维护、操作、故障处理，需要虚拟化桌面认证工程师资格现场服务</w:t>
            </w:r>
          </w:p>
        </w:tc>
        <w:tc>
          <w:tcPr>
            <w:tcW w:w="823" w:type="dxa"/>
            <w:tcBorders>
              <w:top w:val="single" w:color="auto" w:sz="4" w:space="0"/>
              <w:left w:val="single" w:color="auto" w:sz="4" w:space="0"/>
              <w:bottom w:val="single" w:color="auto" w:sz="4" w:space="0"/>
              <w:right w:val="single" w:color="auto" w:sz="4" w:space="0"/>
            </w:tcBorders>
            <w:vAlign w:val="center"/>
          </w:tcPr>
          <w:p w14:paraId="0DF9CB48">
            <w:pPr>
              <w:jc w:val="center"/>
              <w:rPr>
                <w:rFonts w:hint="eastAsia" w:ascii="宋体" w:hAnsi="宋体" w:cs="Courier New"/>
                <w:kern w:val="0"/>
                <w:szCs w:val="21"/>
              </w:rPr>
            </w:pPr>
            <w:r>
              <w:rPr>
                <w:rFonts w:hint="eastAsia" w:ascii="宋体" w:hAnsi="宋体" w:cs="Courier New"/>
                <w:kern w:val="0"/>
                <w:szCs w:val="21"/>
              </w:rPr>
              <w:t>1批</w:t>
            </w:r>
          </w:p>
        </w:tc>
        <w:tc>
          <w:tcPr>
            <w:tcW w:w="945" w:type="dxa"/>
            <w:tcBorders>
              <w:top w:val="single" w:color="auto" w:sz="4" w:space="0"/>
              <w:left w:val="single" w:color="auto" w:sz="4" w:space="0"/>
              <w:bottom w:val="single" w:color="auto" w:sz="4" w:space="0"/>
              <w:right w:val="single" w:color="auto" w:sz="4" w:space="0"/>
            </w:tcBorders>
          </w:tcPr>
          <w:p w14:paraId="42F84C5E">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4A96895D">
            <w:pPr>
              <w:jc w:val="center"/>
              <w:rPr>
                <w:rFonts w:hint="eastAsia" w:ascii="宋体" w:hAnsi="宋体" w:cs="Courier New"/>
                <w:kern w:val="0"/>
                <w:szCs w:val="21"/>
              </w:rPr>
            </w:pPr>
          </w:p>
        </w:tc>
      </w:tr>
      <w:tr w14:paraId="561D9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trPr>
        <w:tc>
          <w:tcPr>
            <w:tcW w:w="642" w:type="dxa"/>
            <w:tcBorders>
              <w:top w:val="single" w:color="auto" w:sz="4" w:space="0"/>
              <w:left w:val="single" w:color="auto" w:sz="4" w:space="0"/>
              <w:bottom w:val="single" w:color="auto" w:sz="4" w:space="0"/>
              <w:right w:val="single" w:color="auto" w:sz="4" w:space="0"/>
            </w:tcBorders>
            <w:vAlign w:val="center"/>
          </w:tcPr>
          <w:p w14:paraId="5A84C558">
            <w:pPr>
              <w:jc w:val="center"/>
              <w:rPr>
                <w:rFonts w:hint="eastAsia" w:ascii="宋体" w:hAnsi="宋体" w:cs="Courier New"/>
                <w:kern w:val="0"/>
                <w:szCs w:val="21"/>
              </w:rPr>
            </w:pPr>
            <w:r>
              <w:rPr>
                <w:rFonts w:hint="eastAsia" w:ascii="宋体" w:hAnsi="宋体" w:cs="Courier New"/>
                <w:kern w:val="0"/>
                <w:szCs w:val="21"/>
              </w:rPr>
              <w:t>23</w:t>
            </w:r>
          </w:p>
        </w:tc>
        <w:tc>
          <w:tcPr>
            <w:tcW w:w="1473" w:type="dxa"/>
            <w:tcBorders>
              <w:top w:val="single" w:color="auto" w:sz="4" w:space="0"/>
              <w:left w:val="single" w:color="auto" w:sz="4" w:space="0"/>
              <w:bottom w:val="single" w:color="auto" w:sz="4" w:space="0"/>
              <w:right w:val="single" w:color="auto" w:sz="4" w:space="0"/>
            </w:tcBorders>
            <w:vAlign w:val="center"/>
          </w:tcPr>
          <w:p w14:paraId="3293A872">
            <w:pPr>
              <w:jc w:val="center"/>
              <w:rPr>
                <w:rFonts w:hint="eastAsia" w:ascii="宋体" w:hAnsi="宋体" w:cs="Courier New"/>
                <w:kern w:val="0"/>
                <w:szCs w:val="21"/>
              </w:rPr>
            </w:pPr>
            <w:r>
              <w:rPr>
                <w:rFonts w:hint="eastAsia" w:ascii="宋体" w:hAnsi="宋体" w:cs="Courier New"/>
                <w:kern w:val="0"/>
                <w:szCs w:val="21"/>
              </w:rPr>
              <w:t>数据库及操作系统</w:t>
            </w:r>
          </w:p>
        </w:tc>
        <w:tc>
          <w:tcPr>
            <w:tcW w:w="4339" w:type="dxa"/>
            <w:tcBorders>
              <w:top w:val="single" w:color="auto" w:sz="4" w:space="0"/>
              <w:left w:val="single" w:color="auto" w:sz="4" w:space="0"/>
              <w:bottom w:val="single" w:color="auto" w:sz="4" w:space="0"/>
              <w:right w:val="single" w:color="auto" w:sz="4" w:space="0"/>
            </w:tcBorders>
            <w:vAlign w:val="center"/>
          </w:tcPr>
          <w:p w14:paraId="65B1F155">
            <w:pPr>
              <w:jc w:val="left"/>
              <w:rPr>
                <w:rFonts w:hint="eastAsia" w:ascii="宋体" w:hAnsi="宋体" w:cs="Courier New"/>
                <w:kern w:val="0"/>
                <w:szCs w:val="21"/>
              </w:rPr>
            </w:pPr>
            <w:r>
              <w:rPr>
                <w:rFonts w:hint="eastAsia" w:ascii="宋体" w:hAnsi="宋体" w:cs="Courier New"/>
                <w:kern w:val="0"/>
                <w:szCs w:val="21"/>
              </w:rPr>
              <w:t>提供图书馆现有数据库及服务器操作系统日常维护服务工作</w:t>
            </w:r>
          </w:p>
        </w:tc>
        <w:tc>
          <w:tcPr>
            <w:tcW w:w="823" w:type="dxa"/>
            <w:tcBorders>
              <w:top w:val="single" w:color="auto" w:sz="4" w:space="0"/>
              <w:left w:val="single" w:color="auto" w:sz="4" w:space="0"/>
              <w:bottom w:val="single" w:color="auto" w:sz="4" w:space="0"/>
              <w:right w:val="single" w:color="auto" w:sz="4" w:space="0"/>
            </w:tcBorders>
            <w:vAlign w:val="center"/>
          </w:tcPr>
          <w:p w14:paraId="76843480">
            <w:pPr>
              <w:jc w:val="center"/>
              <w:rPr>
                <w:rFonts w:hint="eastAsia" w:ascii="宋体" w:hAnsi="宋体" w:cs="Courier New"/>
                <w:kern w:val="0"/>
                <w:szCs w:val="21"/>
              </w:rPr>
            </w:pPr>
            <w:r>
              <w:rPr>
                <w:rFonts w:hint="eastAsia" w:ascii="宋体" w:hAnsi="宋体" w:cs="Courier New"/>
                <w:kern w:val="0"/>
                <w:szCs w:val="21"/>
              </w:rPr>
              <w:t>1批</w:t>
            </w:r>
          </w:p>
        </w:tc>
        <w:tc>
          <w:tcPr>
            <w:tcW w:w="945" w:type="dxa"/>
            <w:tcBorders>
              <w:top w:val="single" w:color="auto" w:sz="4" w:space="0"/>
              <w:left w:val="single" w:color="auto" w:sz="4" w:space="0"/>
              <w:bottom w:val="single" w:color="auto" w:sz="4" w:space="0"/>
              <w:right w:val="single" w:color="auto" w:sz="4" w:space="0"/>
            </w:tcBorders>
          </w:tcPr>
          <w:p w14:paraId="48DEFE8C">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DD81801">
            <w:pPr>
              <w:jc w:val="center"/>
              <w:rPr>
                <w:rFonts w:hint="eastAsia" w:ascii="宋体" w:hAnsi="宋体" w:cs="Courier New"/>
                <w:kern w:val="0"/>
                <w:szCs w:val="21"/>
              </w:rPr>
            </w:pPr>
          </w:p>
        </w:tc>
      </w:tr>
      <w:tr w14:paraId="24F75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642" w:type="dxa"/>
            <w:tcBorders>
              <w:top w:val="single" w:color="auto" w:sz="4" w:space="0"/>
              <w:left w:val="single" w:color="auto" w:sz="4" w:space="0"/>
              <w:bottom w:val="single" w:color="auto" w:sz="4" w:space="0"/>
              <w:right w:val="single" w:color="auto" w:sz="4" w:space="0"/>
            </w:tcBorders>
            <w:vAlign w:val="center"/>
          </w:tcPr>
          <w:p w14:paraId="48DDC65A">
            <w:pPr>
              <w:jc w:val="center"/>
              <w:rPr>
                <w:rFonts w:hint="eastAsia" w:ascii="宋体" w:hAnsi="宋体" w:cs="Courier New"/>
                <w:kern w:val="0"/>
                <w:szCs w:val="21"/>
              </w:rPr>
            </w:pPr>
            <w:r>
              <w:rPr>
                <w:rFonts w:hint="eastAsia" w:ascii="宋体" w:hAnsi="宋体" w:cs="Courier New"/>
                <w:kern w:val="0"/>
                <w:szCs w:val="21"/>
              </w:rPr>
              <w:t>24</w:t>
            </w:r>
          </w:p>
        </w:tc>
        <w:tc>
          <w:tcPr>
            <w:tcW w:w="1473" w:type="dxa"/>
            <w:tcBorders>
              <w:top w:val="single" w:color="auto" w:sz="4" w:space="0"/>
              <w:left w:val="single" w:color="auto" w:sz="4" w:space="0"/>
              <w:bottom w:val="single" w:color="auto" w:sz="4" w:space="0"/>
              <w:right w:val="single" w:color="auto" w:sz="4" w:space="0"/>
            </w:tcBorders>
            <w:vAlign w:val="center"/>
          </w:tcPr>
          <w:p w14:paraId="7F0F51CB">
            <w:pPr>
              <w:jc w:val="center"/>
              <w:rPr>
                <w:rFonts w:hint="eastAsia" w:ascii="宋体" w:hAnsi="宋体" w:cs="Courier New"/>
                <w:kern w:val="0"/>
                <w:szCs w:val="21"/>
              </w:rPr>
            </w:pPr>
            <w:r>
              <w:rPr>
                <w:rFonts w:hint="eastAsia" w:ascii="宋体" w:hAnsi="宋体" w:cs="Courier New"/>
                <w:kern w:val="0"/>
                <w:szCs w:val="21"/>
              </w:rPr>
              <w:t>现场服务</w:t>
            </w:r>
          </w:p>
        </w:tc>
        <w:tc>
          <w:tcPr>
            <w:tcW w:w="4339" w:type="dxa"/>
            <w:tcBorders>
              <w:top w:val="single" w:color="auto" w:sz="4" w:space="0"/>
              <w:left w:val="single" w:color="auto" w:sz="4" w:space="0"/>
              <w:bottom w:val="single" w:color="auto" w:sz="4" w:space="0"/>
              <w:right w:val="single" w:color="auto" w:sz="4" w:space="0"/>
            </w:tcBorders>
            <w:vAlign w:val="center"/>
          </w:tcPr>
          <w:p w14:paraId="09C1D68E">
            <w:pPr>
              <w:jc w:val="left"/>
              <w:rPr>
                <w:rFonts w:hint="eastAsia" w:ascii="宋体" w:hAnsi="宋体" w:cs="Courier New"/>
                <w:kern w:val="0"/>
                <w:szCs w:val="21"/>
              </w:rPr>
            </w:pPr>
            <w:r>
              <w:rPr>
                <w:rFonts w:hint="eastAsia" w:ascii="宋体" w:hAnsi="宋体" w:cs="Courier New"/>
                <w:kern w:val="0"/>
                <w:szCs w:val="21"/>
              </w:rPr>
              <w:t>工程师每周需要至少提供一次对数据中心、馆内信息化设备、虚拟化终端及各弱电间进行巡检、故障报修服务。</w:t>
            </w:r>
          </w:p>
        </w:tc>
        <w:tc>
          <w:tcPr>
            <w:tcW w:w="823" w:type="dxa"/>
            <w:tcBorders>
              <w:top w:val="single" w:color="auto" w:sz="4" w:space="0"/>
              <w:left w:val="single" w:color="auto" w:sz="4" w:space="0"/>
              <w:bottom w:val="single" w:color="auto" w:sz="4" w:space="0"/>
              <w:right w:val="single" w:color="auto" w:sz="4" w:space="0"/>
            </w:tcBorders>
            <w:vAlign w:val="center"/>
          </w:tcPr>
          <w:p w14:paraId="6C50B829">
            <w:pPr>
              <w:jc w:val="center"/>
              <w:rPr>
                <w:rFonts w:hint="eastAsia" w:ascii="宋体" w:hAnsi="宋体" w:cs="Courier New"/>
                <w:kern w:val="0"/>
                <w:szCs w:val="21"/>
              </w:rPr>
            </w:pPr>
            <w:r>
              <w:rPr>
                <w:rFonts w:hint="eastAsia" w:ascii="宋体" w:hAnsi="宋体" w:cs="Courier New"/>
                <w:kern w:val="0"/>
                <w:szCs w:val="21"/>
              </w:rPr>
              <w:t>1批</w:t>
            </w:r>
          </w:p>
        </w:tc>
        <w:tc>
          <w:tcPr>
            <w:tcW w:w="945" w:type="dxa"/>
            <w:tcBorders>
              <w:top w:val="single" w:color="auto" w:sz="4" w:space="0"/>
              <w:left w:val="single" w:color="auto" w:sz="4" w:space="0"/>
              <w:bottom w:val="single" w:color="auto" w:sz="4" w:space="0"/>
              <w:right w:val="single" w:color="auto" w:sz="4" w:space="0"/>
            </w:tcBorders>
          </w:tcPr>
          <w:p w14:paraId="6FB5EE09">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179B3E6">
            <w:pPr>
              <w:jc w:val="center"/>
              <w:rPr>
                <w:rFonts w:hint="eastAsia" w:ascii="宋体" w:hAnsi="宋体" w:cs="Courier New"/>
                <w:kern w:val="0"/>
                <w:szCs w:val="21"/>
              </w:rPr>
            </w:pPr>
          </w:p>
        </w:tc>
      </w:tr>
      <w:tr w14:paraId="54F2F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9072" w:type="dxa"/>
            <w:gridSpan w:val="6"/>
            <w:tcBorders>
              <w:top w:val="single" w:color="auto" w:sz="4" w:space="0"/>
              <w:left w:val="single" w:color="auto" w:sz="4" w:space="0"/>
              <w:bottom w:val="single" w:color="auto" w:sz="4" w:space="0"/>
              <w:right w:val="single" w:color="auto" w:sz="4" w:space="0"/>
            </w:tcBorders>
            <w:shd w:val="clear" w:color="auto" w:fill="B4C6E7"/>
            <w:vAlign w:val="center"/>
          </w:tcPr>
          <w:p w14:paraId="3FB66FFC">
            <w:pPr>
              <w:jc w:val="center"/>
              <w:rPr>
                <w:rFonts w:hint="eastAsia" w:ascii="宋体" w:hAnsi="宋体" w:cs="宋体"/>
                <w:b/>
                <w:bCs/>
                <w:kern w:val="0"/>
                <w:szCs w:val="21"/>
              </w:rPr>
            </w:pPr>
            <w:r>
              <w:rPr>
                <w:rFonts w:hint="eastAsia" w:ascii="宋体" w:hAnsi="宋体" w:cs="宋体"/>
                <w:b/>
                <w:bCs/>
                <w:kern w:val="0"/>
                <w:szCs w:val="21"/>
              </w:rPr>
              <w:t>租赁设备清单</w:t>
            </w:r>
          </w:p>
        </w:tc>
      </w:tr>
      <w:tr w14:paraId="406D1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642" w:type="dxa"/>
            <w:tcBorders>
              <w:top w:val="single" w:color="auto" w:sz="4" w:space="0"/>
              <w:left w:val="single" w:color="auto" w:sz="4" w:space="0"/>
              <w:bottom w:val="single" w:color="auto" w:sz="4" w:space="0"/>
              <w:right w:val="single" w:color="auto" w:sz="4" w:space="0"/>
            </w:tcBorders>
            <w:vAlign w:val="center"/>
          </w:tcPr>
          <w:p w14:paraId="06F717E6">
            <w:pPr>
              <w:jc w:val="center"/>
              <w:rPr>
                <w:rFonts w:hint="eastAsia" w:ascii="宋体" w:hAnsi="宋体" w:cs="Courier New"/>
                <w:kern w:val="0"/>
                <w:szCs w:val="21"/>
              </w:rPr>
            </w:pPr>
            <w:r>
              <w:rPr>
                <w:rFonts w:hint="eastAsia" w:ascii="宋体" w:hAnsi="宋体" w:cs="Courier New"/>
                <w:kern w:val="0"/>
                <w:szCs w:val="21"/>
              </w:rPr>
              <w:t>1</w:t>
            </w:r>
          </w:p>
        </w:tc>
        <w:tc>
          <w:tcPr>
            <w:tcW w:w="1473" w:type="dxa"/>
            <w:tcBorders>
              <w:top w:val="single" w:color="auto" w:sz="4" w:space="0"/>
              <w:left w:val="single" w:color="auto" w:sz="4" w:space="0"/>
              <w:bottom w:val="single" w:color="auto" w:sz="4" w:space="0"/>
              <w:right w:val="single" w:color="auto" w:sz="4" w:space="0"/>
            </w:tcBorders>
            <w:vAlign w:val="center"/>
          </w:tcPr>
          <w:p w14:paraId="505C8DD3">
            <w:pPr>
              <w:jc w:val="center"/>
              <w:rPr>
                <w:rFonts w:hint="eastAsia" w:ascii="宋体" w:hAnsi="宋体" w:cs="Courier New"/>
                <w:kern w:val="0"/>
                <w:szCs w:val="21"/>
              </w:rPr>
            </w:pPr>
            <w:r>
              <w:rPr>
                <w:rFonts w:hint="eastAsia" w:ascii="宋体" w:hAnsi="宋体" w:cs="Courier New"/>
                <w:kern w:val="0"/>
                <w:szCs w:val="21"/>
              </w:rPr>
              <w:t>上网行为管理</w:t>
            </w:r>
          </w:p>
        </w:tc>
        <w:tc>
          <w:tcPr>
            <w:tcW w:w="4339" w:type="dxa"/>
            <w:tcBorders>
              <w:top w:val="single" w:color="auto" w:sz="4" w:space="0"/>
              <w:left w:val="single" w:color="auto" w:sz="4" w:space="0"/>
              <w:bottom w:val="single" w:color="auto" w:sz="4" w:space="0"/>
              <w:right w:val="single" w:color="auto" w:sz="4" w:space="0"/>
            </w:tcBorders>
            <w:vAlign w:val="center"/>
          </w:tcPr>
          <w:p w14:paraId="09B9A522">
            <w:pPr>
              <w:widowControl/>
              <w:rPr>
                <w:rFonts w:hint="eastAsia" w:ascii="宋体" w:hAnsi="宋体" w:cs="Courier New"/>
                <w:kern w:val="0"/>
                <w:szCs w:val="21"/>
              </w:rPr>
            </w:pPr>
            <w:r>
              <w:rPr>
                <w:rFonts w:hint="eastAsia" w:ascii="宋体" w:hAnsi="宋体" w:cs="Courier New"/>
                <w:kern w:val="0"/>
                <w:szCs w:val="21"/>
              </w:rPr>
              <w:t>详见租赁设备产品技术参数相关要求</w:t>
            </w:r>
          </w:p>
        </w:tc>
        <w:tc>
          <w:tcPr>
            <w:tcW w:w="823" w:type="dxa"/>
            <w:tcBorders>
              <w:top w:val="single" w:color="auto" w:sz="4" w:space="0"/>
              <w:left w:val="single" w:color="auto" w:sz="4" w:space="0"/>
              <w:bottom w:val="single" w:color="auto" w:sz="4" w:space="0"/>
              <w:right w:val="single" w:color="auto" w:sz="4" w:space="0"/>
            </w:tcBorders>
            <w:vAlign w:val="center"/>
          </w:tcPr>
          <w:p w14:paraId="3200B5C9">
            <w:pPr>
              <w:jc w:val="center"/>
              <w:rPr>
                <w:rFonts w:hint="eastAsia" w:ascii="宋体" w:hAnsi="宋体" w:cs="Courier New"/>
                <w:kern w:val="0"/>
                <w:szCs w:val="21"/>
              </w:rPr>
            </w:pPr>
            <w:r>
              <w:rPr>
                <w:rFonts w:hint="eastAsia" w:ascii="宋体" w:hAnsi="宋体" w:cs="Courier New"/>
                <w:kern w:val="0"/>
                <w:szCs w:val="21"/>
              </w:rPr>
              <w:t>1台</w:t>
            </w:r>
          </w:p>
        </w:tc>
        <w:tc>
          <w:tcPr>
            <w:tcW w:w="945" w:type="dxa"/>
            <w:tcBorders>
              <w:top w:val="single" w:color="auto" w:sz="4" w:space="0"/>
              <w:left w:val="single" w:color="auto" w:sz="4" w:space="0"/>
              <w:bottom w:val="single" w:color="auto" w:sz="4" w:space="0"/>
              <w:right w:val="single" w:color="auto" w:sz="4" w:space="0"/>
            </w:tcBorders>
          </w:tcPr>
          <w:p w14:paraId="604AAED8">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2C22719B">
            <w:pPr>
              <w:jc w:val="center"/>
              <w:rPr>
                <w:rFonts w:hint="eastAsia" w:ascii="宋体" w:hAnsi="宋体" w:cs="Courier New"/>
                <w:kern w:val="0"/>
                <w:szCs w:val="21"/>
              </w:rPr>
            </w:pPr>
          </w:p>
        </w:tc>
      </w:tr>
      <w:tr w14:paraId="5AB84877">
        <w:tblPrEx>
          <w:tblCellMar>
            <w:top w:w="0" w:type="dxa"/>
            <w:left w:w="108" w:type="dxa"/>
            <w:bottom w:w="0" w:type="dxa"/>
            <w:right w:w="108" w:type="dxa"/>
          </w:tblCellMar>
        </w:tblPrEx>
        <w:trPr>
          <w:trHeight w:val="195" w:hRule="atLeast"/>
        </w:trPr>
        <w:tc>
          <w:tcPr>
            <w:tcW w:w="642" w:type="dxa"/>
            <w:tcBorders>
              <w:top w:val="single" w:color="auto" w:sz="4" w:space="0"/>
              <w:left w:val="single" w:color="auto" w:sz="4" w:space="0"/>
              <w:bottom w:val="single" w:color="auto" w:sz="4" w:space="0"/>
              <w:right w:val="single" w:color="auto" w:sz="4" w:space="0"/>
            </w:tcBorders>
            <w:vAlign w:val="center"/>
          </w:tcPr>
          <w:p w14:paraId="3458AF17">
            <w:pPr>
              <w:jc w:val="center"/>
              <w:rPr>
                <w:rFonts w:hint="eastAsia" w:ascii="宋体" w:hAnsi="宋体" w:cs="Courier New"/>
                <w:kern w:val="0"/>
                <w:szCs w:val="21"/>
              </w:rPr>
            </w:pPr>
            <w:r>
              <w:rPr>
                <w:rFonts w:hint="eastAsia" w:ascii="宋体" w:hAnsi="宋体" w:cs="Courier New"/>
                <w:kern w:val="0"/>
                <w:szCs w:val="21"/>
              </w:rPr>
              <w:t>2</w:t>
            </w:r>
          </w:p>
        </w:tc>
        <w:tc>
          <w:tcPr>
            <w:tcW w:w="1473" w:type="dxa"/>
            <w:tcBorders>
              <w:top w:val="single" w:color="auto" w:sz="4" w:space="0"/>
              <w:left w:val="single" w:color="auto" w:sz="4" w:space="0"/>
              <w:bottom w:val="single" w:color="auto" w:sz="4" w:space="0"/>
              <w:right w:val="single" w:color="auto" w:sz="4" w:space="0"/>
            </w:tcBorders>
            <w:vAlign w:val="center"/>
          </w:tcPr>
          <w:p w14:paraId="4941E411">
            <w:pPr>
              <w:jc w:val="center"/>
              <w:rPr>
                <w:rFonts w:hint="eastAsia" w:ascii="宋体" w:hAnsi="宋体" w:cs="Courier New"/>
                <w:kern w:val="0"/>
                <w:szCs w:val="21"/>
              </w:rPr>
            </w:pPr>
            <w:r>
              <w:rPr>
                <w:rFonts w:hint="eastAsia" w:ascii="宋体" w:hAnsi="宋体" w:cs="Courier New"/>
                <w:kern w:val="0"/>
                <w:szCs w:val="21"/>
              </w:rPr>
              <w:t>零信任综合</w:t>
            </w:r>
          </w:p>
          <w:p w14:paraId="7FD72A6D">
            <w:pPr>
              <w:jc w:val="center"/>
              <w:rPr>
                <w:rFonts w:hint="eastAsia" w:ascii="宋体" w:hAnsi="宋体" w:cs="Courier New"/>
                <w:kern w:val="0"/>
                <w:szCs w:val="21"/>
              </w:rPr>
            </w:pPr>
            <w:r>
              <w:rPr>
                <w:rFonts w:hint="eastAsia" w:ascii="宋体" w:hAnsi="宋体" w:cs="Courier New"/>
                <w:kern w:val="0"/>
                <w:szCs w:val="21"/>
              </w:rPr>
              <w:t>网关</w:t>
            </w:r>
          </w:p>
        </w:tc>
        <w:tc>
          <w:tcPr>
            <w:tcW w:w="4339" w:type="dxa"/>
            <w:tcBorders>
              <w:top w:val="single" w:color="auto" w:sz="4" w:space="0"/>
              <w:left w:val="single" w:color="auto" w:sz="4" w:space="0"/>
              <w:bottom w:val="single" w:color="auto" w:sz="4" w:space="0"/>
              <w:right w:val="single" w:color="auto" w:sz="4" w:space="0"/>
            </w:tcBorders>
            <w:vAlign w:val="center"/>
          </w:tcPr>
          <w:p w14:paraId="7C839805">
            <w:pPr>
              <w:rPr>
                <w:rFonts w:hint="eastAsia" w:ascii="宋体" w:hAnsi="宋体" w:cs="Courier New"/>
                <w:kern w:val="0"/>
                <w:szCs w:val="21"/>
              </w:rPr>
            </w:pPr>
            <w:r>
              <w:rPr>
                <w:rFonts w:hint="eastAsia" w:ascii="宋体" w:hAnsi="宋体" w:cs="Courier New"/>
                <w:kern w:val="0"/>
                <w:szCs w:val="21"/>
              </w:rPr>
              <w:t>详见租赁设备产品技术参数相关要求</w:t>
            </w:r>
          </w:p>
        </w:tc>
        <w:tc>
          <w:tcPr>
            <w:tcW w:w="823" w:type="dxa"/>
            <w:tcBorders>
              <w:top w:val="single" w:color="auto" w:sz="4" w:space="0"/>
              <w:left w:val="single" w:color="auto" w:sz="4" w:space="0"/>
              <w:bottom w:val="single" w:color="auto" w:sz="4" w:space="0"/>
              <w:right w:val="single" w:color="auto" w:sz="4" w:space="0"/>
            </w:tcBorders>
            <w:vAlign w:val="center"/>
          </w:tcPr>
          <w:p w14:paraId="5F6C04E8">
            <w:pPr>
              <w:jc w:val="center"/>
              <w:rPr>
                <w:rFonts w:hint="eastAsia" w:ascii="宋体" w:hAnsi="宋体" w:cs="Courier New"/>
                <w:kern w:val="0"/>
                <w:szCs w:val="21"/>
              </w:rPr>
            </w:pPr>
            <w:r>
              <w:rPr>
                <w:rFonts w:hint="eastAsia" w:ascii="宋体" w:hAnsi="宋体" w:cs="Courier New"/>
                <w:kern w:val="0"/>
                <w:szCs w:val="21"/>
              </w:rPr>
              <w:t>1台</w:t>
            </w:r>
          </w:p>
        </w:tc>
        <w:tc>
          <w:tcPr>
            <w:tcW w:w="945" w:type="dxa"/>
            <w:tcBorders>
              <w:top w:val="single" w:color="auto" w:sz="4" w:space="0"/>
              <w:left w:val="single" w:color="auto" w:sz="4" w:space="0"/>
              <w:bottom w:val="single" w:color="auto" w:sz="4" w:space="0"/>
              <w:right w:val="single" w:color="auto" w:sz="4" w:space="0"/>
            </w:tcBorders>
          </w:tcPr>
          <w:p w14:paraId="4E051352">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33C2FEDE">
            <w:pPr>
              <w:jc w:val="center"/>
              <w:rPr>
                <w:rFonts w:hint="eastAsia" w:ascii="宋体" w:hAnsi="宋体" w:cs="Courier New"/>
                <w:kern w:val="0"/>
                <w:szCs w:val="21"/>
              </w:rPr>
            </w:pPr>
          </w:p>
        </w:tc>
      </w:tr>
      <w:tr w14:paraId="7D537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42" w:type="dxa"/>
            <w:tcBorders>
              <w:top w:val="single" w:color="auto" w:sz="4" w:space="0"/>
              <w:left w:val="single" w:color="auto" w:sz="4" w:space="0"/>
              <w:bottom w:val="single" w:color="auto" w:sz="4" w:space="0"/>
              <w:right w:val="single" w:color="auto" w:sz="4" w:space="0"/>
            </w:tcBorders>
            <w:vAlign w:val="center"/>
          </w:tcPr>
          <w:p w14:paraId="6AC0D173">
            <w:pPr>
              <w:jc w:val="center"/>
              <w:rPr>
                <w:rFonts w:hint="eastAsia" w:ascii="宋体" w:hAnsi="宋体" w:cs="Courier New"/>
                <w:kern w:val="0"/>
                <w:szCs w:val="21"/>
              </w:rPr>
            </w:pPr>
            <w:r>
              <w:rPr>
                <w:rFonts w:hint="eastAsia" w:ascii="宋体" w:hAnsi="宋体" w:cs="Courier New"/>
                <w:kern w:val="0"/>
                <w:szCs w:val="21"/>
              </w:rPr>
              <w:t>3</w:t>
            </w:r>
          </w:p>
        </w:tc>
        <w:tc>
          <w:tcPr>
            <w:tcW w:w="1473" w:type="dxa"/>
            <w:tcBorders>
              <w:top w:val="single" w:color="auto" w:sz="4" w:space="0"/>
              <w:left w:val="single" w:color="auto" w:sz="4" w:space="0"/>
              <w:bottom w:val="single" w:color="auto" w:sz="4" w:space="0"/>
              <w:right w:val="single" w:color="auto" w:sz="4" w:space="0"/>
            </w:tcBorders>
            <w:vAlign w:val="center"/>
          </w:tcPr>
          <w:p w14:paraId="023008EA">
            <w:pPr>
              <w:jc w:val="center"/>
              <w:rPr>
                <w:rFonts w:hint="eastAsia" w:ascii="宋体" w:hAnsi="宋体" w:cs="Courier New"/>
                <w:kern w:val="0"/>
                <w:szCs w:val="21"/>
              </w:rPr>
            </w:pPr>
            <w:r>
              <w:rPr>
                <w:rFonts w:hint="eastAsia" w:ascii="宋体" w:hAnsi="宋体" w:cs="Courier New"/>
                <w:kern w:val="0"/>
                <w:szCs w:val="21"/>
              </w:rPr>
              <w:t>保垒机</w:t>
            </w:r>
          </w:p>
        </w:tc>
        <w:tc>
          <w:tcPr>
            <w:tcW w:w="4339" w:type="dxa"/>
            <w:tcBorders>
              <w:top w:val="single" w:color="auto" w:sz="4" w:space="0"/>
              <w:left w:val="single" w:color="auto" w:sz="4" w:space="0"/>
              <w:bottom w:val="single" w:color="auto" w:sz="4" w:space="0"/>
              <w:right w:val="single" w:color="auto" w:sz="4" w:space="0"/>
            </w:tcBorders>
            <w:vAlign w:val="center"/>
          </w:tcPr>
          <w:p w14:paraId="07D2AE36">
            <w:pPr>
              <w:rPr>
                <w:rFonts w:hint="eastAsia" w:ascii="宋体" w:hAnsi="宋体" w:cs="Courier New"/>
                <w:kern w:val="0"/>
                <w:szCs w:val="21"/>
              </w:rPr>
            </w:pPr>
            <w:r>
              <w:rPr>
                <w:rFonts w:hint="eastAsia" w:ascii="宋体" w:hAnsi="宋体" w:cs="Courier New"/>
                <w:kern w:val="0"/>
                <w:szCs w:val="21"/>
              </w:rPr>
              <w:t>详见租赁设备产品技术参数相关要求</w:t>
            </w:r>
          </w:p>
        </w:tc>
        <w:tc>
          <w:tcPr>
            <w:tcW w:w="823" w:type="dxa"/>
            <w:tcBorders>
              <w:top w:val="single" w:color="auto" w:sz="4" w:space="0"/>
              <w:left w:val="single" w:color="auto" w:sz="4" w:space="0"/>
              <w:bottom w:val="single" w:color="auto" w:sz="4" w:space="0"/>
              <w:right w:val="single" w:color="auto" w:sz="4" w:space="0"/>
            </w:tcBorders>
            <w:vAlign w:val="center"/>
          </w:tcPr>
          <w:p w14:paraId="3871FFBF">
            <w:pPr>
              <w:jc w:val="center"/>
              <w:rPr>
                <w:rFonts w:hint="eastAsia" w:ascii="宋体" w:hAnsi="宋体" w:cs="Courier New"/>
                <w:kern w:val="0"/>
                <w:szCs w:val="21"/>
              </w:rPr>
            </w:pPr>
            <w:r>
              <w:rPr>
                <w:rFonts w:hint="eastAsia" w:ascii="宋体" w:hAnsi="宋体" w:cs="Courier New"/>
                <w:kern w:val="0"/>
                <w:szCs w:val="21"/>
              </w:rPr>
              <w:t>1台</w:t>
            </w:r>
          </w:p>
        </w:tc>
        <w:tc>
          <w:tcPr>
            <w:tcW w:w="945" w:type="dxa"/>
            <w:tcBorders>
              <w:top w:val="single" w:color="auto" w:sz="4" w:space="0"/>
              <w:left w:val="single" w:color="auto" w:sz="4" w:space="0"/>
              <w:bottom w:val="single" w:color="auto" w:sz="4" w:space="0"/>
              <w:right w:val="single" w:color="auto" w:sz="4" w:space="0"/>
            </w:tcBorders>
          </w:tcPr>
          <w:p w14:paraId="086D20B7">
            <w:pPr>
              <w:jc w:val="center"/>
              <w:rPr>
                <w:rFonts w:hint="eastAsia" w:ascii="宋体" w:hAnsi="宋体" w:cs="Courier New"/>
                <w:kern w:val="0"/>
                <w:szCs w:val="21"/>
              </w:rPr>
            </w:pPr>
          </w:p>
        </w:tc>
        <w:tc>
          <w:tcPr>
            <w:tcW w:w="850" w:type="dxa"/>
            <w:tcBorders>
              <w:top w:val="single" w:color="auto" w:sz="4" w:space="0"/>
              <w:left w:val="single" w:color="auto" w:sz="4" w:space="0"/>
              <w:bottom w:val="single" w:color="auto" w:sz="4" w:space="0"/>
              <w:right w:val="single" w:color="auto" w:sz="4" w:space="0"/>
            </w:tcBorders>
          </w:tcPr>
          <w:p w14:paraId="5D8CCAF8">
            <w:pPr>
              <w:jc w:val="center"/>
              <w:rPr>
                <w:rFonts w:hint="eastAsia" w:ascii="宋体" w:hAnsi="宋体" w:cs="Courier New"/>
                <w:kern w:val="0"/>
                <w:szCs w:val="21"/>
              </w:rPr>
            </w:pPr>
          </w:p>
        </w:tc>
      </w:tr>
      <w:tr w14:paraId="60F44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42" w:type="dxa"/>
            <w:tcBorders>
              <w:top w:val="single" w:color="auto" w:sz="4" w:space="0"/>
              <w:left w:val="single" w:color="auto" w:sz="4" w:space="0"/>
              <w:bottom w:val="single" w:color="auto" w:sz="4" w:space="0"/>
              <w:right w:val="single" w:color="auto" w:sz="4" w:space="0"/>
            </w:tcBorders>
            <w:vAlign w:val="center"/>
          </w:tcPr>
          <w:p w14:paraId="0648F32B">
            <w:pPr>
              <w:jc w:val="center"/>
              <w:rPr>
                <w:rFonts w:hint="eastAsia" w:ascii="宋体" w:hAnsi="宋体" w:cs="Courier New"/>
                <w:kern w:val="0"/>
                <w:szCs w:val="21"/>
              </w:rPr>
            </w:pPr>
            <w:r>
              <w:rPr>
                <w:rFonts w:hint="eastAsia" w:ascii="宋体" w:hAnsi="宋体" w:cs="Courier New"/>
                <w:kern w:val="0"/>
                <w:szCs w:val="21"/>
              </w:rPr>
              <w:t>合计</w:t>
            </w:r>
          </w:p>
        </w:tc>
        <w:tc>
          <w:tcPr>
            <w:tcW w:w="8430" w:type="dxa"/>
            <w:gridSpan w:val="5"/>
            <w:tcBorders>
              <w:top w:val="single" w:color="auto" w:sz="4" w:space="0"/>
              <w:left w:val="single" w:color="auto" w:sz="4" w:space="0"/>
              <w:bottom w:val="single" w:color="auto" w:sz="4" w:space="0"/>
              <w:right w:val="single" w:color="auto" w:sz="4" w:space="0"/>
            </w:tcBorders>
            <w:vAlign w:val="center"/>
          </w:tcPr>
          <w:p w14:paraId="37A57131">
            <w:pPr>
              <w:jc w:val="center"/>
              <w:rPr>
                <w:rFonts w:hint="eastAsia" w:ascii="宋体" w:hAnsi="宋体" w:cs="Courier New"/>
                <w:kern w:val="0"/>
                <w:szCs w:val="21"/>
              </w:rPr>
            </w:pPr>
          </w:p>
        </w:tc>
      </w:tr>
    </w:tbl>
    <w:p w14:paraId="15E00212">
      <w:pPr>
        <w:tabs>
          <w:tab w:val="left" w:pos="360"/>
        </w:tabs>
        <w:spacing w:line="400" w:lineRule="exact"/>
        <w:ind w:firstLine="422" w:firstLineChars="200"/>
        <w:rPr>
          <w:rFonts w:hint="eastAsia" w:ascii="宋体" w:hAnsi="宋体"/>
          <w:b/>
          <w:bCs/>
          <w:szCs w:val="21"/>
        </w:rPr>
      </w:pPr>
      <w:r>
        <w:rPr>
          <w:rFonts w:hint="eastAsia" w:ascii="宋体" w:hAnsi="宋体"/>
          <w:b/>
          <w:bCs/>
          <w:szCs w:val="21"/>
        </w:rPr>
        <w:t>1.2乙方按其响应文件提供的货物及服务必须满足采购文件的各项要求。具体如下：</w:t>
      </w:r>
    </w:p>
    <w:p w14:paraId="4DBC2DE0">
      <w:pPr>
        <w:tabs>
          <w:tab w:val="left" w:pos="360"/>
        </w:tabs>
        <w:spacing w:line="400" w:lineRule="exact"/>
        <w:ind w:firstLine="422" w:firstLineChars="200"/>
        <w:rPr>
          <w:rFonts w:hint="eastAsia" w:ascii="宋体" w:hAnsi="宋体"/>
          <w:b/>
          <w:bCs/>
          <w:szCs w:val="21"/>
        </w:rPr>
      </w:pPr>
      <w:r>
        <w:rPr>
          <w:rFonts w:hint="eastAsia" w:ascii="宋体" w:hAnsi="宋体"/>
          <w:b/>
          <w:bCs/>
          <w:szCs w:val="21"/>
        </w:rPr>
        <w:t>1.2.1保修服务内容</w:t>
      </w:r>
    </w:p>
    <w:p w14:paraId="4738D333">
      <w:pPr>
        <w:spacing w:line="400" w:lineRule="exact"/>
        <w:ind w:firstLine="420" w:firstLineChars="200"/>
        <w:jc w:val="left"/>
        <w:rPr>
          <w:rFonts w:hint="eastAsia" w:ascii="宋体" w:hAnsi="宋体"/>
          <w:szCs w:val="21"/>
        </w:rPr>
      </w:pPr>
      <w:r>
        <w:rPr>
          <w:rFonts w:hint="eastAsia" w:ascii="宋体" w:hAnsi="宋体"/>
          <w:szCs w:val="21"/>
        </w:rPr>
        <w:t>乙方负责提供该项目维保服务清单内所有设备的软硬件保修服务,保修期限自签订合同之日起1年。其中包括：</w:t>
      </w:r>
    </w:p>
    <w:p w14:paraId="6A0B29C9">
      <w:pPr>
        <w:spacing w:line="400" w:lineRule="exact"/>
        <w:ind w:firstLine="420" w:firstLineChars="200"/>
        <w:jc w:val="left"/>
        <w:rPr>
          <w:rFonts w:hint="eastAsia" w:ascii="宋体" w:hAnsi="宋体"/>
          <w:szCs w:val="21"/>
        </w:rPr>
      </w:pPr>
      <w:r>
        <w:rPr>
          <w:rFonts w:hint="eastAsia" w:ascii="宋体" w:hAnsi="宋体"/>
          <w:szCs w:val="21"/>
        </w:rPr>
        <w:t>（1）提供全天候（24小时*7天）实时电话响应。</w:t>
      </w:r>
    </w:p>
    <w:p w14:paraId="494EF131">
      <w:pPr>
        <w:spacing w:line="400" w:lineRule="exact"/>
        <w:ind w:firstLine="420" w:firstLineChars="200"/>
        <w:jc w:val="left"/>
        <w:rPr>
          <w:rFonts w:hint="eastAsia" w:ascii="宋体" w:hAnsi="宋体"/>
          <w:szCs w:val="21"/>
        </w:rPr>
      </w:pPr>
      <w:r>
        <w:rPr>
          <w:rFonts w:hint="eastAsia" w:ascii="宋体" w:hAnsi="宋体"/>
          <w:szCs w:val="21"/>
        </w:rPr>
        <w:t>（2）故障排除：在规定的时限内排除故障恢复系统运行，进行故障定位、部件更换、数据恢复等全部工作；确保设备所有硬件模块正常运行，每年非正常停机次数不超过2次,累计时间不超过60分钟。</w:t>
      </w:r>
    </w:p>
    <w:p w14:paraId="7487B13A">
      <w:pPr>
        <w:spacing w:line="400" w:lineRule="exact"/>
        <w:ind w:firstLine="420" w:firstLineChars="200"/>
        <w:jc w:val="left"/>
        <w:rPr>
          <w:rFonts w:hint="eastAsia" w:ascii="宋体" w:hAnsi="宋体"/>
          <w:szCs w:val="21"/>
        </w:rPr>
      </w:pPr>
      <w:r>
        <w:rPr>
          <w:rFonts w:hint="eastAsia" w:ascii="宋体" w:hAnsi="宋体"/>
          <w:szCs w:val="21"/>
        </w:rPr>
        <w:t>（3）系统日志检查：检查错误日志,分析设备状态,系统运行性能检查和高级检查。</w:t>
      </w:r>
    </w:p>
    <w:p w14:paraId="14A6E267">
      <w:pPr>
        <w:spacing w:line="400" w:lineRule="exact"/>
        <w:ind w:firstLine="420" w:firstLineChars="200"/>
        <w:jc w:val="left"/>
        <w:rPr>
          <w:rFonts w:hint="eastAsia" w:ascii="宋体" w:hAnsi="宋体"/>
          <w:szCs w:val="21"/>
        </w:rPr>
      </w:pPr>
      <w:r>
        <w:rPr>
          <w:rFonts w:hint="eastAsia" w:ascii="宋体" w:hAnsi="宋体"/>
          <w:szCs w:val="21"/>
        </w:rPr>
        <w:t>（4）出现硬件故障时提供硬件保修或更换服务：接报故障后，响应时间为10分钟，一般故障2个小时内修复，重大故障原则上4个小时内修复，需更换备件的故障一般当日修复、设备外修的一般次日修复，如需要进行返厂维修的设备，乙方在必要时需按照甲方提供不影响业务系统运行的解决方案或代替品。维修结束后填写《设备维修单》，一式两份，一份报送委托方确认，另一份存档备查，同时每次维修情况记入维保档案报委托方确认。</w:t>
      </w:r>
    </w:p>
    <w:p w14:paraId="61484549">
      <w:pPr>
        <w:spacing w:line="400" w:lineRule="exact"/>
        <w:ind w:firstLine="420" w:firstLineChars="200"/>
        <w:jc w:val="left"/>
        <w:rPr>
          <w:rFonts w:hint="eastAsia" w:ascii="宋体" w:hAnsi="宋体"/>
          <w:szCs w:val="21"/>
        </w:rPr>
      </w:pPr>
      <w:r>
        <w:rPr>
          <w:rFonts w:hint="eastAsia" w:ascii="宋体" w:hAnsi="宋体"/>
          <w:szCs w:val="21"/>
        </w:rPr>
        <w:t>（5）乙方为本项目中的所有设备提供满足服务期限的备品备件，且用于本项目中的备品备件必须是来自于设备原厂商的全新产品。日常维保工作中，乙方必须在备件库中保有一定数量的易损备品备件（随时对已使用的备件进行补充），以确保能满足日常运维保障的基本要求。</w:t>
      </w:r>
    </w:p>
    <w:p w14:paraId="2C96E061">
      <w:pPr>
        <w:spacing w:line="400" w:lineRule="exact"/>
        <w:ind w:firstLine="420" w:firstLineChars="200"/>
        <w:jc w:val="left"/>
        <w:rPr>
          <w:rFonts w:hint="eastAsia" w:ascii="宋体" w:hAnsi="宋体"/>
          <w:szCs w:val="21"/>
        </w:rPr>
      </w:pPr>
      <w:r>
        <w:rPr>
          <w:rFonts w:hint="eastAsia" w:ascii="宋体" w:hAnsi="宋体"/>
          <w:szCs w:val="21"/>
        </w:rPr>
        <w:t>（6）设备返修：乙方对设备故障不能自行修复的，可送原厂返修或送专业单位修理，相关修理费用由乙方支付。</w:t>
      </w:r>
    </w:p>
    <w:p w14:paraId="332AC16E">
      <w:pPr>
        <w:spacing w:line="400" w:lineRule="exact"/>
        <w:ind w:firstLine="420" w:firstLineChars="200"/>
        <w:jc w:val="left"/>
        <w:rPr>
          <w:rFonts w:hint="eastAsia" w:ascii="宋体" w:hAnsi="宋体"/>
          <w:szCs w:val="21"/>
        </w:rPr>
      </w:pPr>
      <w:r>
        <w:rPr>
          <w:rFonts w:hint="eastAsia" w:ascii="宋体" w:hAnsi="宋体"/>
          <w:szCs w:val="21"/>
        </w:rPr>
        <w:t>（7）当发生硬件设备故障时，如不能在24小时内修复故障，若用户要求, 乙方必须提供备机，并根据故障设备型号提供备机型号、配置、配电及相关的运行情况资料，在用户监督下进行安装、部署。设备故障修复后，经用户同意乙方撤回备机，由用户负责对备机进行检查，涉及有用户数据保存的设备，须进行相应的处理。</w:t>
      </w:r>
    </w:p>
    <w:p w14:paraId="0A4B6AC9">
      <w:pPr>
        <w:spacing w:line="400" w:lineRule="exact"/>
        <w:ind w:firstLine="420" w:firstLineChars="200"/>
        <w:jc w:val="left"/>
        <w:rPr>
          <w:rFonts w:hint="eastAsia" w:ascii="宋体" w:hAnsi="宋体"/>
          <w:szCs w:val="21"/>
        </w:rPr>
      </w:pPr>
      <w:r>
        <w:rPr>
          <w:rFonts w:hint="eastAsia" w:ascii="宋体" w:hAnsi="宋体"/>
          <w:szCs w:val="21"/>
        </w:rPr>
        <w:t>（8）故障处理完毕2个工作日内，乙方提供《故障处理分析报告》，详细说明故障原因、处理过程、解决办法、预防措施等关键内容，并签字盖印章，提交给用户备案。系统恢复正常后，乙方工程师应对系统进行持续跟踪，避免遗留问题。</w:t>
      </w:r>
    </w:p>
    <w:p w14:paraId="0A4C61FC">
      <w:pPr>
        <w:spacing w:line="400" w:lineRule="exact"/>
        <w:ind w:firstLine="422" w:firstLineChars="200"/>
        <w:jc w:val="left"/>
        <w:rPr>
          <w:rFonts w:hint="eastAsia" w:ascii="宋体" w:hAnsi="宋体"/>
          <w:b/>
          <w:bCs/>
          <w:szCs w:val="21"/>
        </w:rPr>
      </w:pPr>
      <w:r>
        <w:rPr>
          <w:rFonts w:hint="eastAsia" w:ascii="宋体" w:hAnsi="宋体"/>
          <w:b/>
          <w:bCs/>
          <w:szCs w:val="21"/>
        </w:rPr>
        <w:t>1.2.2日常维护要求</w:t>
      </w:r>
    </w:p>
    <w:p w14:paraId="2F57C688">
      <w:pPr>
        <w:spacing w:line="400" w:lineRule="exact"/>
        <w:ind w:firstLine="420" w:firstLineChars="200"/>
        <w:jc w:val="left"/>
        <w:rPr>
          <w:rFonts w:hint="eastAsia" w:ascii="宋体" w:hAnsi="宋体"/>
          <w:szCs w:val="21"/>
        </w:rPr>
      </w:pPr>
      <w:r>
        <w:rPr>
          <w:rFonts w:hint="eastAsia" w:ascii="宋体" w:hAnsi="宋体"/>
          <w:szCs w:val="21"/>
        </w:rPr>
        <w:t>根据采购要求，乙方需要组建本次维护项目的服务团队，承担本次项目的技术服务团队技术人员不少于四人。针对本次维保服务清单内所有设备除提供软硬件保修服务外，还需要进行设备的日常保养，功能性检查，定期排除潜在故障因素，及时发现故障隐患并上报做出处理，确保设备稳定运行。如遇到未在维保服务清单内的其它设备或系统，与甲方进行协商后进行相关服务，在设备或者业务软件出现故障时及时进行送修、修复等服务，所产生的相关费用与南通市图书馆协商解决。</w:t>
      </w:r>
    </w:p>
    <w:p w14:paraId="55681BE8">
      <w:pPr>
        <w:spacing w:line="400" w:lineRule="exact"/>
        <w:ind w:firstLine="420" w:firstLineChars="200"/>
        <w:jc w:val="left"/>
        <w:rPr>
          <w:rFonts w:hint="eastAsia" w:ascii="宋体" w:hAnsi="宋体"/>
          <w:szCs w:val="21"/>
        </w:rPr>
      </w:pPr>
      <w:r>
        <w:rPr>
          <w:rFonts w:hint="eastAsia" w:ascii="宋体" w:hAnsi="宋体"/>
          <w:szCs w:val="21"/>
        </w:rPr>
        <w:t>同时针对用户业务系统的要求，及时响应更新升级平台软件。并做到如下相关服务要求：</w:t>
      </w:r>
    </w:p>
    <w:p w14:paraId="16037E95">
      <w:pPr>
        <w:spacing w:line="400" w:lineRule="exact"/>
        <w:ind w:firstLine="420" w:firstLineChars="200"/>
        <w:jc w:val="left"/>
        <w:rPr>
          <w:rFonts w:hint="eastAsia" w:ascii="宋体" w:hAnsi="宋体"/>
          <w:szCs w:val="21"/>
        </w:rPr>
      </w:pPr>
      <w:r>
        <w:rPr>
          <w:rFonts w:hint="eastAsia" w:ascii="宋体" w:hAnsi="宋体"/>
          <w:szCs w:val="21"/>
        </w:rPr>
        <w:t>乙方必须做到所有设备巡检每周一次，有特殊情况，可根据实际情况调整为每日一次或应急维护。</w:t>
      </w:r>
    </w:p>
    <w:p w14:paraId="1F1BD1CE">
      <w:pPr>
        <w:spacing w:line="400" w:lineRule="exact"/>
        <w:ind w:firstLine="420" w:firstLineChars="200"/>
        <w:jc w:val="left"/>
        <w:rPr>
          <w:rFonts w:hint="eastAsia" w:ascii="宋体" w:hAnsi="宋体"/>
          <w:szCs w:val="21"/>
        </w:rPr>
      </w:pPr>
      <w:r>
        <w:rPr>
          <w:rFonts w:hint="eastAsia" w:ascii="宋体" w:hAnsi="宋体"/>
          <w:szCs w:val="21"/>
        </w:rPr>
        <w:t>（1）每次定期设备巡检做好纸质记录，将发现的故障隐患上报委托方。</w:t>
      </w:r>
    </w:p>
    <w:p w14:paraId="094C7DBE">
      <w:pPr>
        <w:spacing w:line="400" w:lineRule="exact"/>
        <w:ind w:firstLine="420" w:firstLineChars="200"/>
        <w:jc w:val="left"/>
        <w:rPr>
          <w:rFonts w:hint="eastAsia" w:ascii="宋体" w:hAnsi="宋体"/>
          <w:szCs w:val="21"/>
        </w:rPr>
      </w:pPr>
      <w:r>
        <w:rPr>
          <w:rFonts w:hint="eastAsia" w:ascii="宋体" w:hAnsi="宋体"/>
          <w:szCs w:val="21"/>
        </w:rPr>
        <w:t>（2）定期设备工作状态检查、设备安全性检查、设备性能检查、设备间线缆整理等。</w:t>
      </w:r>
    </w:p>
    <w:p w14:paraId="56809473">
      <w:pPr>
        <w:spacing w:line="400" w:lineRule="exact"/>
        <w:ind w:firstLine="420" w:firstLineChars="200"/>
        <w:jc w:val="left"/>
        <w:rPr>
          <w:rFonts w:hint="eastAsia" w:ascii="宋体" w:hAnsi="宋体"/>
          <w:szCs w:val="21"/>
        </w:rPr>
      </w:pPr>
      <w:r>
        <w:rPr>
          <w:rFonts w:hint="eastAsia" w:ascii="宋体" w:hAnsi="宋体"/>
          <w:szCs w:val="21"/>
        </w:rPr>
        <w:t>（3）解答用户有关产品使用中出现的问题。</w:t>
      </w:r>
    </w:p>
    <w:p w14:paraId="1DCBE2FC">
      <w:pPr>
        <w:spacing w:line="400" w:lineRule="exact"/>
        <w:ind w:firstLine="420" w:firstLineChars="200"/>
        <w:jc w:val="left"/>
        <w:rPr>
          <w:rFonts w:hint="eastAsia" w:ascii="宋体" w:hAnsi="宋体"/>
          <w:szCs w:val="21"/>
        </w:rPr>
      </w:pPr>
      <w:r>
        <w:rPr>
          <w:rFonts w:hint="eastAsia" w:ascii="宋体" w:hAnsi="宋体"/>
          <w:szCs w:val="21"/>
        </w:rPr>
        <w:t>（4）对现有系统需要进行调整配置时提供现场支持服务。</w:t>
      </w:r>
    </w:p>
    <w:p w14:paraId="31CFA3E8">
      <w:pPr>
        <w:spacing w:line="400" w:lineRule="exact"/>
        <w:ind w:firstLine="420" w:firstLineChars="200"/>
        <w:jc w:val="left"/>
        <w:rPr>
          <w:rFonts w:hint="eastAsia" w:ascii="宋体" w:hAnsi="宋体"/>
          <w:szCs w:val="21"/>
        </w:rPr>
      </w:pPr>
      <w:r>
        <w:rPr>
          <w:rFonts w:hint="eastAsia" w:ascii="宋体" w:hAnsi="宋体"/>
          <w:szCs w:val="21"/>
        </w:rPr>
        <w:t>（5）根据用户需求重新划分存储空间，包括数据克隆。</w:t>
      </w:r>
    </w:p>
    <w:p w14:paraId="05CFC444">
      <w:pPr>
        <w:spacing w:line="400" w:lineRule="exact"/>
        <w:ind w:firstLine="420" w:firstLineChars="200"/>
        <w:jc w:val="left"/>
        <w:rPr>
          <w:rFonts w:hint="eastAsia" w:ascii="宋体" w:hAnsi="宋体"/>
          <w:szCs w:val="21"/>
        </w:rPr>
      </w:pPr>
      <w:r>
        <w:rPr>
          <w:rFonts w:hint="eastAsia" w:ascii="宋体" w:hAnsi="宋体"/>
          <w:szCs w:val="21"/>
        </w:rPr>
        <w:t>（6）维保公司还需在用户发生需求时，提供现场人工服务。</w:t>
      </w:r>
    </w:p>
    <w:p w14:paraId="0EA91509">
      <w:pPr>
        <w:spacing w:line="400" w:lineRule="exact"/>
        <w:ind w:firstLine="420" w:firstLineChars="200"/>
        <w:jc w:val="left"/>
        <w:rPr>
          <w:rFonts w:hint="eastAsia" w:ascii="宋体" w:hAnsi="宋体"/>
          <w:szCs w:val="21"/>
        </w:rPr>
      </w:pPr>
      <w:r>
        <w:rPr>
          <w:rFonts w:hint="eastAsia" w:ascii="宋体" w:hAnsi="宋体"/>
          <w:szCs w:val="21"/>
        </w:rPr>
        <w:t>（7）提供应用系统上线、变更等必要的存储及备份的现场值守服务。</w:t>
      </w:r>
    </w:p>
    <w:p w14:paraId="0798B3D1">
      <w:pPr>
        <w:spacing w:line="400" w:lineRule="exact"/>
        <w:ind w:firstLine="420" w:firstLineChars="200"/>
        <w:jc w:val="left"/>
        <w:rPr>
          <w:rFonts w:hint="eastAsia" w:ascii="宋体" w:hAnsi="宋体"/>
          <w:szCs w:val="21"/>
        </w:rPr>
      </w:pPr>
      <w:r>
        <w:rPr>
          <w:rFonts w:hint="eastAsia" w:ascii="宋体" w:hAnsi="宋体"/>
          <w:szCs w:val="21"/>
        </w:rPr>
        <w:t>（8）提供各设备用户单位服务期系统实施、变更所需的现场值守服务。</w:t>
      </w:r>
    </w:p>
    <w:p w14:paraId="08371F96">
      <w:pPr>
        <w:spacing w:line="400" w:lineRule="exact"/>
        <w:ind w:firstLine="420" w:firstLineChars="200"/>
        <w:jc w:val="left"/>
        <w:rPr>
          <w:rFonts w:hint="eastAsia" w:ascii="宋体" w:hAnsi="宋体"/>
          <w:szCs w:val="21"/>
        </w:rPr>
      </w:pPr>
      <w:r>
        <w:rPr>
          <w:rFonts w:hint="eastAsia" w:ascii="宋体" w:hAnsi="宋体"/>
          <w:szCs w:val="21"/>
        </w:rPr>
        <w:t>（9）提供系统平台变更：如网络、存储、系统软件等变更时对应的相关的支持服务。</w:t>
      </w:r>
    </w:p>
    <w:p w14:paraId="45C37BFB">
      <w:pPr>
        <w:spacing w:line="400" w:lineRule="exact"/>
        <w:ind w:firstLine="420" w:firstLineChars="200"/>
        <w:jc w:val="left"/>
        <w:rPr>
          <w:rFonts w:hint="eastAsia" w:ascii="宋体" w:hAnsi="宋体"/>
          <w:szCs w:val="21"/>
        </w:rPr>
      </w:pPr>
      <w:r>
        <w:rPr>
          <w:rFonts w:hint="eastAsia" w:ascii="宋体" w:hAnsi="宋体"/>
          <w:szCs w:val="21"/>
        </w:rPr>
        <w:t>（10）软件日常维护:检查虚拟化软件运行状态，桌面使用情况，分配磁盘空间检查,备份软件检查等。</w:t>
      </w:r>
    </w:p>
    <w:p w14:paraId="777838C0">
      <w:pPr>
        <w:spacing w:line="400" w:lineRule="exact"/>
        <w:ind w:firstLine="420" w:firstLineChars="200"/>
        <w:jc w:val="left"/>
        <w:rPr>
          <w:rFonts w:hint="eastAsia" w:ascii="宋体" w:hAnsi="宋体"/>
          <w:szCs w:val="21"/>
        </w:rPr>
      </w:pPr>
      <w:r>
        <w:rPr>
          <w:rFonts w:hint="eastAsia" w:ascii="宋体" w:hAnsi="宋体"/>
          <w:szCs w:val="21"/>
        </w:rPr>
        <w:t>（11）数据迁移：配合用户提出的相关数据迁移要求，评估数据迁移的风险、制定详细的数据迁移方案，在得到用户许可的情况下提供相应的数据迁移服务。</w:t>
      </w:r>
    </w:p>
    <w:p w14:paraId="5A262585">
      <w:pPr>
        <w:spacing w:line="400" w:lineRule="exact"/>
        <w:ind w:firstLine="420" w:firstLineChars="200"/>
        <w:jc w:val="left"/>
        <w:rPr>
          <w:rFonts w:hint="eastAsia" w:ascii="宋体" w:hAnsi="宋体"/>
          <w:szCs w:val="21"/>
        </w:rPr>
      </w:pPr>
      <w:r>
        <w:rPr>
          <w:rFonts w:hint="eastAsia" w:ascii="宋体" w:hAnsi="宋体"/>
          <w:szCs w:val="21"/>
        </w:rPr>
        <w:t>（12）日常虚拟化软件维保：保证虚拟化的使用正常，保证桌面系统的运行及稳定性。在虚拟化软件系统出现问题后，及时解决故障，保证虚拟化软件及虚拟桌面的运行。</w:t>
      </w:r>
    </w:p>
    <w:p w14:paraId="047A3E41">
      <w:pPr>
        <w:spacing w:line="400" w:lineRule="exact"/>
        <w:ind w:firstLine="420" w:firstLineChars="200"/>
        <w:jc w:val="left"/>
        <w:rPr>
          <w:rFonts w:hint="eastAsia" w:ascii="宋体" w:hAnsi="宋体"/>
          <w:szCs w:val="21"/>
        </w:rPr>
      </w:pPr>
      <w:r>
        <w:rPr>
          <w:rFonts w:hint="eastAsia" w:ascii="宋体" w:hAnsi="宋体"/>
          <w:szCs w:val="21"/>
        </w:rPr>
        <w:t>（13）对于不属于本次维保项目的设备：应用户要求配合用户或者其它设备的厂商所需的必要辅助服务。</w:t>
      </w:r>
    </w:p>
    <w:p w14:paraId="60B2FC68">
      <w:pPr>
        <w:spacing w:line="400" w:lineRule="exact"/>
        <w:ind w:firstLine="420" w:firstLineChars="200"/>
        <w:jc w:val="left"/>
        <w:rPr>
          <w:rFonts w:hint="eastAsia" w:ascii="宋体" w:hAnsi="宋体"/>
          <w:szCs w:val="21"/>
        </w:rPr>
      </w:pPr>
      <w:r>
        <w:rPr>
          <w:rFonts w:hint="eastAsia" w:ascii="宋体" w:hAnsi="宋体"/>
          <w:szCs w:val="21"/>
        </w:rPr>
        <w:t>（14）对于用户在日常维护中的新购设备，要加入现有系统中的，提供全面的技术支持和硬件安装调试服务。</w:t>
      </w:r>
    </w:p>
    <w:p w14:paraId="4D8A15D8">
      <w:pPr>
        <w:spacing w:line="400" w:lineRule="exact"/>
        <w:ind w:firstLine="420" w:firstLineChars="200"/>
        <w:jc w:val="left"/>
        <w:rPr>
          <w:rFonts w:hint="eastAsia" w:ascii="宋体" w:hAnsi="宋体"/>
          <w:szCs w:val="21"/>
        </w:rPr>
      </w:pPr>
      <w:r>
        <w:rPr>
          <w:rFonts w:hint="eastAsia" w:ascii="宋体" w:hAnsi="宋体"/>
          <w:szCs w:val="21"/>
        </w:rPr>
        <w:t>（15）必要时对设备进行清洁，保持设备良好运行状态。</w:t>
      </w:r>
    </w:p>
    <w:p w14:paraId="4574E72B">
      <w:pPr>
        <w:spacing w:line="400" w:lineRule="exact"/>
        <w:ind w:firstLine="420" w:firstLineChars="200"/>
        <w:jc w:val="left"/>
        <w:rPr>
          <w:rFonts w:hint="eastAsia" w:ascii="宋体" w:hAnsi="宋体"/>
          <w:szCs w:val="21"/>
        </w:rPr>
      </w:pPr>
      <w:r>
        <w:rPr>
          <w:rFonts w:hint="eastAsia" w:ascii="宋体" w:hAnsi="宋体"/>
          <w:szCs w:val="21"/>
        </w:rPr>
        <w:t>（16）具有以上系统的综合系统优化支持能力。</w:t>
      </w:r>
    </w:p>
    <w:p w14:paraId="30D54572">
      <w:pPr>
        <w:spacing w:line="400" w:lineRule="exact"/>
        <w:ind w:firstLine="420" w:firstLineChars="200"/>
        <w:jc w:val="left"/>
        <w:rPr>
          <w:rFonts w:hint="eastAsia" w:ascii="宋体" w:hAnsi="宋体"/>
          <w:szCs w:val="21"/>
        </w:rPr>
      </w:pPr>
      <w:r>
        <w:rPr>
          <w:rFonts w:hint="eastAsia" w:ascii="宋体" w:hAnsi="宋体"/>
          <w:szCs w:val="21"/>
        </w:rPr>
        <w:t>（17）服务期内提供与本项目相关的技术咨询服务。</w:t>
      </w:r>
    </w:p>
    <w:p w14:paraId="00D604AE">
      <w:pPr>
        <w:spacing w:line="400" w:lineRule="exact"/>
        <w:ind w:firstLine="422" w:firstLineChars="200"/>
        <w:jc w:val="left"/>
        <w:rPr>
          <w:rFonts w:hint="eastAsia" w:ascii="宋体" w:hAnsi="宋体"/>
          <w:b/>
          <w:bCs/>
          <w:szCs w:val="21"/>
        </w:rPr>
      </w:pPr>
      <w:r>
        <w:rPr>
          <w:rFonts w:hint="eastAsia" w:ascii="宋体" w:hAnsi="宋体"/>
          <w:b/>
          <w:bCs/>
          <w:szCs w:val="21"/>
        </w:rPr>
        <w:t>1.2.3其他要求</w:t>
      </w:r>
    </w:p>
    <w:p w14:paraId="2D7E27A8">
      <w:pPr>
        <w:spacing w:line="400" w:lineRule="exact"/>
        <w:ind w:firstLine="420" w:firstLineChars="200"/>
        <w:rPr>
          <w:rFonts w:hint="eastAsia" w:ascii="宋体" w:hAnsi="宋体"/>
          <w:szCs w:val="21"/>
        </w:rPr>
      </w:pPr>
      <w:r>
        <w:rPr>
          <w:rFonts w:hint="eastAsia" w:ascii="宋体" w:hAnsi="宋体"/>
          <w:szCs w:val="21"/>
        </w:rPr>
        <w:t>重大系统变更现场值守服务：服务期内，用户在出现新系统上线、系统割接、设备扩容、移机、机房内调整等重大系统变更事件时，乙方须对参保设备提供设备移动、安装调试、配置调整、数据迁移、辅助工具软件安装等现场服务。对于不属于乙方维护设备范围内的设备，应现场配合用户及其他厂商，并提供必要的辅助服务。</w:t>
      </w:r>
    </w:p>
    <w:p w14:paraId="5BC42475">
      <w:pPr>
        <w:spacing w:line="400" w:lineRule="exact"/>
        <w:ind w:firstLine="420" w:firstLineChars="200"/>
        <w:rPr>
          <w:rFonts w:hint="eastAsia" w:ascii="宋体" w:hAnsi="宋体"/>
          <w:szCs w:val="21"/>
        </w:rPr>
      </w:pPr>
      <w:r>
        <w:rPr>
          <w:rFonts w:hint="eastAsia" w:ascii="宋体" w:hAnsi="宋体"/>
          <w:szCs w:val="21"/>
        </w:rPr>
        <w:t>提供免费现场专业技术培训；培训内容包括设备工作原理知识、日常维护技能、基本操作技术和其他相关专业能力等；乙方提供授课工程师、教材以及相关辅助资料。</w:t>
      </w:r>
    </w:p>
    <w:p w14:paraId="0EB78C56">
      <w:pPr>
        <w:tabs>
          <w:tab w:val="left" w:pos="360"/>
        </w:tabs>
        <w:spacing w:line="400" w:lineRule="exact"/>
        <w:ind w:firstLine="420" w:firstLineChars="200"/>
        <w:rPr>
          <w:rFonts w:hint="eastAsia" w:ascii="宋体" w:hAnsi="宋体"/>
          <w:szCs w:val="21"/>
        </w:rPr>
      </w:pPr>
      <w:r>
        <w:rPr>
          <w:rFonts w:hint="eastAsia" w:ascii="宋体" w:hAnsi="宋体"/>
          <w:szCs w:val="21"/>
        </w:rPr>
        <w:t>1.3乙方提供的运输、装卸、检验、技术服务、质保期等服务不得低于采购文件的要求及响应文件承诺的标准。</w:t>
      </w:r>
      <w:bookmarkStart w:id="88" w:name="_Toc81879412"/>
    </w:p>
    <w:p w14:paraId="328F89B9">
      <w:pPr>
        <w:spacing w:line="400" w:lineRule="exact"/>
        <w:ind w:firstLine="482" w:firstLineChars="200"/>
        <w:rPr>
          <w:rFonts w:hint="eastAsia" w:ascii="宋体" w:hAnsi="宋体"/>
          <w:b/>
          <w:bCs/>
          <w:sz w:val="24"/>
          <w:szCs w:val="24"/>
        </w:rPr>
      </w:pPr>
      <w:r>
        <w:rPr>
          <w:rFonts w:hint="eastAsia" w:ascii="宋体" w:hAnsi="宋体"/>
          <w:b/>
          <w:bCs/>
          <w:sz w:val="24"/>
        </w:rPr>
        <w:t>2.价格：</w:t>
      </w:r>
      <w:bookmarkEnd w:id="88"/>
    </w:p>
    <w:p w14:paraId="47A346D0">
      <w:pPr>
        <w:tabs>
          <w:tab w:val="left" w:pos="360"/>
        </w:tabs>
        <w:spacing w:line="400" w:lineRule="exact"/>
        <w:ind w:firstLine="420" w:firstLineChars="200"/>
        <w:rPr>
          <w:rFonts w:hint="eastAsia" w:ascii="宋体" w:hAnsi="宋体"/>
          <w:b/>
          <w:szCs w:val="21"/>
        </w:rPr>
      </w:pPr>
      <w:r>
        <w:rPr>
          <w:rFonts w:hint="eastAsia" w:ascii="宋体" w:hAnsi="宋体"/>
          <w:szCs w:val="21"/>
        </w:rPr>
        <w:t>2.1按照乙方的成交价，本合同价款总额为：大写：</w:t>
      </w:r>
      <w:r>
        <w:rPr>
          <w:rFonts w:hint="eastAsia" w:ascii="宋体" w:hAnsi="宋体"/>
          <w:szCs w:val="21"/>
          <w:u w:val="single"/>
        </w:rPr>
        <w:t>人民币</w:t>
      </w:r>
      <w:r>
        <w:rPr>
          <w:rFonts w:hint="eastAsia" w:ascii="宋体" w:hAnsi="宋体" w:cs="宋体"/>
          <w:u w:val="single"/>
        </w:rPr>
        <w:t xml:space="preserve">         </w:t>
      </w:r>
      <w:r>
        <w:rPr>
          <w:rFonts w:hint="eastAsia" w:ascii="宋体" w:hAnsi="宋体"/>
          <w:szCs w:val="21"/>
        </w:rPr>
        <w:t>，小写：</w:t>
      </w:r>
      <w:r>
        <w:rPr>
          <w:szCs w:val="21"/>
          <w:u w:val="single"/>
        </w:rPr>
        <w:t xml:space="preserve">¥         </w:t>
      </w:r>
      <w:r>
        <w:rPr>
          <w:rFonts w:hint="eastAsia"/>
          <w:szCs w:val="21"/>
        </w:rPr>
        <w:t>。</w:t>
      </w:r>
    </w:p>
    <w:p w14:paraId="5DE073C6">
      <w:pPr>
        <w:spacing w:line="400" w:lineRule="exact"/>
        <w:ind w:firstLine="420" w:firstLineChars="200"/>
        <w:rPr>
          <w:szCs w:val="24"/>
        </w:rPr>
      </w:pPr>
      <w:r>
        <w:rPr>
          <w:rFonts w:hint="eastAsia" w:ascii="宋体" w:hAnsi="宋体"/>
          <w:szCs w:val="21"/>
        </w:rPr>
        <w:t>2.2</w:t>
      </w:r>
      <w:r>
        <w:rPr>
          <w:rFonts w:hint="eastAsia"/>
        </w:rPr>
        <w:t>合同价格为：指定地点交货价，</w:t>
      </w:r>
      <w:bookmarkStart w:id="89" w:name="_Toc81879413"/>
      <w:r>
        <w:rPr>
          <w:rFonts w:hint="eastAsia"/>
        </w:rPr>
        <w:t>包含</w:t>
      </w:r>
      <w:bookmarkStart w:id="90" w:name="_Hlk191283046"/>
      <w:bookmarkStart w:id="91" w:name="OLE_LINK7"/>
      <w:r>
        <w:rPr>
          <w:rFonts w:hint="eastAsia"/>
        </w:rPr>
        <w:t>全系统集成费用，包括设备调试费用、人员培训费及其它所需配件及线材辅料等一切费用</w:t>
      </w:r>
      <w:bookmarkEnd w:id="90"/>
      <w:r>
        <w:rPr>
          <w:rFonts w:hint="eastAsia"/>
        </w:rPr>
        <w:t>。</w:t>
      </w:r>
      <w:bookmarkEnd w:id="91"/>
      <w:r>
        <w:rPr>
          <w:rFonts w:hint="eastAsia"/>
        </w:rPr>
        <w:t>在本合同履行期间</w:t>
      </w:r>
      <w:r>
        <w:t>,</w:t>
      </w:r>
      <w:r>
        <w:rPr>
          <w:rFonts w:hint="eastAsia"/>
        </w:rPr>
        <w:t>该价格不受市场任何因素影响。</w:t>
      </w:r>
    </w:p>
    <w:p w14:paraId="06C66772">
      <w:pPr>
        <w:spacing w:line="400" w:lineRule="exact"/>
        <w:ind w:firstLine="482" w:firstLineChars="200"/>
        <w:rPr>
          <w:rFonts w:hint="eastAsia" w:ascii="宋体" w:hAnsi="宋体"/>
          <w:b/>
          <w:bCs/>
          <w:sz w:val="24"/>
        </w:rPr>
      </w:pPr>
      <w:r>
        <w:rPr>
          <w:rFonts w:hint="eastAsia" w:ascii="宋体" w:hAnsi="宋体"/>
          <w:b/>
          <w:bCs/>
          <w:sz w:val="24"/>
        </w:rPr>
        <w:t>3.货物质量要求及乙方对质量负责条件和期限：</w:t>
      </w:r>
      <w:bookmarkEnd w:id="89"/>
    </w:p>
    <w:p w14:paraId="047B4534">
      <w:pPr>
        <w:tabs>
          <w:tab w:val="left" w:pos="360"/>
        </w:tabs>
        <w:spacing w:line="400" w:lineRule="exact"/>
        <w:ind w:firstLine="420" w:firstLineChars="200"/>
        <w:rPr>
          <w:rFonts w:hint="eastAsia" w:ascii="宋体" w:hAnsi="宋体"/>
          <w:szCs w:val="21"/>
        </w:rPr>
      </w:pPr>
      <w:r>
        <w:rPr>
          <w:rFonts w:hint="eastAsia" w:ascii="宋体" w:hAnsi="宋体"/>
          <w:szCs w:val="21"/>
        </w:rPr>
        <w:t>3.1合同履行期限：维保公司负责提供该项目所签订含硬件维保服务的设备的相关产品的现场技术支持和原厂商保修服务,保修期限自签订合同之日起1年。涉及的租赁设备在合同签订之日起30个工作日内安装调试完成。本项目涉及的租赁设备自设备验收合格之日起提供硬件一年质保服务、规则库一年升级服务。</w:t>
      </w:r>
    </w:p>
    <w:p w14:paraId="081A85A1">
      <w:pPr>
        <w:tabs>
          <w:tab w:val="left" w:pos="360"/>
        </w:tabs>
        <w:spacing w:line="400" w:lineRule="exact"/>
        <w:ind w:firstLine="420" w:firstLineChars="200"/>
        <w:rPr>
          <w:rFonts w:hint="eastAsia" w:ascii="宋体" w:hAnsi="宋体"/>
          <w:szCs w:val="21"/>
        </w:rPr>
      </w:pPr>
      <w:r>
        <w:rPr>
          <w:rFonts w:hint="eastAsia" w:ascii="宋体" w:hAnsi="宋体"/>
          <w:szCs w:val="21"/>
        </w:rPr>
        <w:t>3.2服务期限：2025年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日至2026年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7C852BA1">
      <w:pPr>
        <w:tabs>
          <w:tab w:val="left" w:pos="360"/>
        </w:tabs>
        <w:spacing w:line="400" w:lineRule="exact"/>
        <w:ind w:firstLine="420" w:firstLineChars="200"/>
        <w:rPr>
          <w:rFonts w:hint="eastAsia" w:ascii="宋体" w:hAnsi="宋体"/>
          <w:szCs w:val="21"/>
        </w:rPr>
      </w:pPr>
      <w:r>
        <w:rPr>
          <w:rFonts w:hint="eastAsia" w:ascii="宋体" w:hAnsi="宋体"/>
          <w:szCs w:val="21"/>
        </w:rPr>
        <w:t>3.3本次项目有效期自首次合同签订之日起三年，每年合同期满后，如乙方服务质量得到甲方认可，可按本次成交价续签下一年合同，续签次数不超过2次。</w:t>
      </w:r>
    </w:p>
    <w:p w14:paraId="1BE7BDE5">
      <w:pPr>
        <w:tabs>
          <w:tab w:val="left" w:pos="360"/>
        </w:tabs>
        <w:spacing w:line="400" w:lineRule="exact"/>
        <w:ind w:firstLine="420" w:firstLineChars="200"/>
        <w:rPr>
          <w:rFonts w:hint="eastAsia" w:ascii="宋体" w:hAnsi="宋体"/>
          <w:szCs w:val="21"/>
        </w:rPr>
      </w:pPr>
      <w:r>
        <w:rPr>
          <w:rFonts w:hint="eastAsia" w:ascii="宋体" w:hAnsi="宋体"/>
          <w:szCs w:val="21"/>
        </w:rPr>
        <w:t>3.4乙方提供的货物必须符合中华人民共和国国家及行业有关标准。</w:t>
      </w:r>
    </w:p>
    <w:p w14:paraId="246CBE27">
      <w:pPr>
        <w:tabs>
          <w:tab w:val="left" w:pos="360"/>
        </w:tabs>
        <w:spacing w:line="400" w:lineRule="exact"/>
        <w:ind w:firstLine="420" w:firstLineChars="200"/>
        <w:rPr>
          <w:rFonts w:hint="eastAsia" w:ascii="宋体" w:hAnsi="宋体"/>
          <w:szCs w:val="21"/>
        </w:rPr>
      </w:pPr>
      <w:r>
        <w:rPr>
          <w:rFonts w:hint="eastAsia" w:ascii="宋体" w:hAnsi="宋体"/>
          <w:szCs w:val="21"/>
        </w:rPr>
        <w:t>3.5货物非因甲方的人为原因而出现的质量问题由乙方负责包换或包退，并承担调换或退货的实际费用。乙方不给予调换的，均按不能交货处理。</w:t>
      </w:r>
      <w:bookmarkStart w:id="92" w:name="_Toc81879414"/>
    </w:p>
    <w:p w14:paraId="7AC7AE57">
      <w:pPr>
        <w:tabs>
          <w:tab w:val="left" w:pos="360"/>
        </w:tabs>
        <w:spacing w:line="400" w:lineRule="exact"/>
        <w:ind w:firstLine="482" w:firstLineChars="200"/>
        <w:rPr>
          <w:rFonts w:hint="eastAsia" w:ascii="宋体" w:hAnsi="宋体"/>
          <w:b/>
          <w:bCs/>
          <w:sz w:val="24"/>
          <w:szCs w:val="24"/>
        </w:rPr>
      </w:pPr>
      <w:r>
        <w:rPr>
          <w:rFonts w:hint="eastAsia" w:ascii="宋体" w:hAnsi="宋体"/>
          <w:b/>
          <w:bCs/>
          <w:sz w:val="24"/>
        </w:rPr>
        <w:t>4.包装及运输：</w:t>
      </w:r>
      <w:bookmarkEnd w:id="92"/>
    </w:p>
    <w:p w14:paraId="59782715">
      <w:pPr>
        <w:tabs>
          <w:tab w:val="left" w:pos="360"/>
        </w:tabs>
        <w:spacing w:line="400" w:lineRule="exact"/>
        <w:ind w:firstLine="420" w:firstLineChars="200"/>
        <w:rPr>
          <w:rFonts w:hint="eastAsia" w:ascii="宋体" w:hAnsi="宋体"/>
          <w:szCs w:val="21"/>
        </w:rPr>
      </w:pPr>
      <w:r>
        <w:rPr>
          <w:rFonts w:hint="eastAsia" w:ascii="宋体" w:hAnsi="宋体"/>
          <w:szCs w:val="21"/>
        </w:rPr>
        <w:t>4.1由乙方提供符合本合同项下货物运输的必要包装方式，符合采购文件的要求。</w:t>
      </w:r>
    </w:p>
    <w:p w14:paraId="7180249F">
      <w:pPr>
        <w:tabs>
          <w:tab w:val="left" w:pos="360"/>
        </w:tabs>
        <w:spacing w:line="400" w:lineRule="exact"/>
        <w:ind w:firstLine="420" w:firstLineChars="200"/>
        <w:rPr>
          <w:rFonts w:hint="eastAsia" w:ascii="宋体" w:hAnsi="宋体"/>
          <w:szCs w:val="21"/>
        </w:rPr>
      </w:pPr>
      <w:r>
        <w:rPr>
          <w:rFonts w:hint="eastAsia" w:ascii="宋体" w:hAnsi="宋体"/>
          <w:szCs w:val="21"/>
        </w:rPr>
        <w:t>4.2包装物材料及包装方式必须同时符合国家有关强制性要求，否则可能导致的延误由乙方承担责任。</w:t>
      </w:r>
      <w:bookmarkStart w:id="93" w:name="_Toc81879415"/>
    </w:p>
    <w:p w14:paraId="5C09D95A">
      <w:pPr>
        <w:tabs>
          <w:tab w:val="left" w:pos="360"/>
        </w:tabs>
        <w:spacing w:line="400" w:lineRule="exact"/>
        <w:ind w:firstLine="482" w:firstLineChars="200"/>
        <w:rPr>
          <w:rFonts w:hint="eastAsia" w:ascii="宋体" w:hAnsi="宋体"/>
          <w:b/>
          <w:bCs/>
          <w:sz w:val="24"/>
          <w:szCs w:val="24"/>
        </w:rPr>
      </w:pPr>
      <w:r>
        <w:rPr>
          <w:rFonts w:hint="eastAsia" w:ascii="宋体" w:hAnsi="宋体"/>
          <w:b/>
          <w:bCs/>
          <w:sz w:val="24"/>
        </w:rPr>
        <w:t>5.交货及验收：</w:t>
      </w:r>
      <w:bookmarkEnd w:id="93"/>
    </w:p>
    <w:p w14:paraId="00E439A0">
      <w:pPr>
        <w:tabs>
          <w:tab w:val="left" w:pos="360"/>
        </w:tabs>
        <w:spacing w:line="400" w:lineRule="exact"/>
        <w:ind w:firstLine="420" w:firstLineChars="200"/>
        <w:rPr>
          <w:rFonts w:hint="eastAsia" w:ascii="宋体" w:hAnsi="宋体"/>
          <w:szCs w:val="21"/>
        </w:rPr>
      </w:pPr>
      <w:r>
        <w:rPr>
          <w:rFonts w:hint="eastAsia" w:ascii="宋体" w:hAnsi="宋体"/>
          <w:szCs w:val="21"/>
        </w:rPr>
        <w:t>5.1交货地点：南通市图书馆指定地点。</w:t>
      </w:r>
    </w:p>
    <w:p w14:paraId="4E836021">
      <w:pPr>
        <w:tabs>
          <w:tab w:val="left" w:pos="360"/>
        </w:tabs>
        <w:spacing w:line="400" w:lineRule="exact"/>
        <w:ind w:firstLine="420" w:firstLineChars="200"/>
        <w:rPr>
          <w:rFonts w:hint="eastAsia" w:ascii="宋体" w:hAnsi="宋体"/>
          <w:szCs w:val="21"/>
        </w:rPr>
      </w:pPr>
      <w:r>
        <w:rPr>
          <w:rFonts w:hint="eastAsia" w:ascii="宋体" w:hAnsi="宋体"/>
          <w:szCs w:val="21"/>
        </w:rPr>
        <w:t>5.2设备租赁时间：本项目涉及的租赁设备租赁时间于2025年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日起算，租赁时间为三年，期满后设备所有权归图书馆所有。</w:t>
      </w:r>
    </w:p>
    <w:p w14:paraId="210BA3E3">
      <w:pPr>
        <w:tabs>
          <w:tab w:val="left" w:pos="360"/>
        </w:tabs>
        <w:spacing w:line="400" w:lineRule="exact"/>
        <w:ind w:firstLine="420" w:firstLineChars="200"/>
        <w:rPr>
          <w:rFonts w:hint="eastAsia" w:ascii="宋体" w:hAnsi="宋体"/>
          <w:szCs w:val="21"/>
        </w:rPr>
      </w:pPr>
      <w:r>
        <w:rPr>
          <w:rFonts w:hint="eastAsia" w:ascii="宋体" w:hAnsi="宋体"/>
          <w:szCs w:val="21"/>
        </w:rPr>
        <w:t>5.3交货要求：本次项目中所提供的货品必须原包装进场，并完全符合采购文件的质量、规格和参数的要求，运送及安装到用户指定地点。甲方按合同约定积极配合乙方履约，合同签订首年租赁设备安装调试完成并试运行二周后，组织相关专业技术人员对租赁设备及相关功能进行验收，并出具验收报告。</w:t>
      </w:r>
    </w:p>
    <w:p w14:paraId="569B0EDC">
      <w:pPr>
        <w:tabs>
          <w:tab w:val="left" w:pos="360"/>
        </w:tabs>
        <w:spacing w:line="400" w:lineRule="exact"/>
        <w:ind w:firstLine="420" w:firstLineChars="200"/>
        <w:rPr>
          <w:szCs w:val="24"/>
        </w:rPr>
      </w:pPr>
      <w:r>
        <w:rPr>
          <w:rFonts w:hint="eastAsia" w:ascii="宋体" w:hAnsi="宋体"/>
          <w:szCs w:val="21"/>
        </w:rPr>
        <w:t>5.4</w:t>
      </w:r>
      <w:bookmarkStart w:id="94" w:name="_Toc81879417"/>
      <w:r>
        <w:rPr>
          <w:rFonts w:hint="eastAsia" w:ascii="宋体" w:hAnsi="宋体"/>
          <w:szCs w:val="21"/>
        </w:rPr>
        <w:t>服务期满后乙方提供一年维保服务的相关材料，甲方按照乙方提供的维保服务材料以及合同中的相关服务条款对乙方一年维保服务进行验收，如乙方服务质量得到甲方认可，可续签下一年合同。</w:t>
      </w:r>
    </w:p>
    <w:p w14:paraId="1595EE22">
      <w:pPr>
        <w:spacing w:line="400" w:lineRule="exact"/>
        <w:ind w:firstLine="482" w:firstLineChars="200"/>
        <w:rPr>
          <w:rFonts w:hint="eastAsia" w:ascii="宋体" w:hAnsi="宋体"/>
          <w:b/>
          <w:bCs/>
          <w:sz w:val="24"/>
        </w:rPr>
      </w:pPr>
      <w:r>
        <w:rPr>
          <w:rFonts w:hint="eastAsia" w:ascii="宋体" w:hAnsi="宋体"/>
          <w:b/>
          <w:bCs/>
          <w:sz w:val="24"/>
        </w:rPr>
        <w:t>6.结算及付款方式：</w:t>
      </w:r>
      <w:bookmarkEnd w:id="94"/>
    </w:p>
    <w:p w14:paraId="33DD4A85">
      <w:pPr>
        <w:tabs>
          <w:tab w:val="left" w:pos="360"/>
        </w:tabs>
        <w:spacing w:line="400" w:lineRule="exact"/>
        <w:ind w:firstLine="420" w:firstLineChars="200"/>
        <w:rPr>
          <w:rFonts w:hint="eastAsia" w:ascii="宋体" w:hAnsi="宋体"/>
          <w:szCs w:val="21"/>
        </w:rPr>
      </w:pPr>
      <w:r>
        <w:rPr>
          <w:rFonts w:hint="eastAsia" w:ascii="宋体" w:hAnsi="宋体"/>
          <w:szCs w:val="21"/>
        </w:rPr>
        <w:t>6.1 合同乙方即采购项目的成交人，结算价格为成交人响应文件所报成交价格。</w:t>
      </w:r>
    </w:p>
    <w:p w14:paraId="4B80A4AF">
      <w:pPr>
        <w:tabs>
          <w:tab w:val="left" w:pos="360"/>
        </w:tabs>
        <w:spacing w:line="400" w:lineRule="exact"/>
        <w:ind w:firstLine="420" w:firstLineChars="200"/>
        <w:rPr>
          <w:rFonts w:hint="eastAsia" w:ascii="宋体" w:hAnsi="宋体"/>
          <w:szCs w:val="21"/>
        </w:rPr>
      </w:pPr>
      <w:r>
        <w:rPr>
          <w:rFonts w:hint="eastAsia" w:ascii="宋体" w:hAnsi="宋体"/>
          <w:szCs w:val="21"/>
        </w:rPr>
        <w:t>6.2双方确认签订合同后，分三期支付款项：第一期，甲乙双方在合同签订后七个工作日内支付至合同款的30%，即</w:t>
      </w:r>
      <w:r>
        <w:rPr>
          <w:rFonts w:hint="eastAsia" w:ascii="宋体" w:hAnsi="宋体"/>
          <w:szCs w:val="21"/>
          <w:u w:val="single"/>
        </w:rPr>
        <w:t xml:space="preserve">     </w:t>
      </w:r>
      <w:r>
        <w:rPr>
          <w:rFonts w:hint="eastAsia" w:ascii="宋体" w:hAnsi="宋体"/>
          <w:szCs w:val="21"/>
        </w:rPr>
        <w:t>￥</w:t>
      </w:r>
      <w:r>
        <w:rPr>
          <w:rFonts w:hint="eastAsia" w:ascii="宋体" w:hAnsi="宋体"/>
          <w:szCs w:val="21"/>
          <w:u w:val="single"/>
        </w:rPr>
        <w:t xml:space="preserve">     </w:t>
      </w:r>
      <w:r>
        <w:rPr>
          <w:rFonts w:hint="eastAsia" w:ascii="宋体" w:hAnsi="宋体"/>
          <w:szCs w:val="21"/>
        </w:rPr>
        <w:t>元；第二期，项目中租赁设备供货安装完成，验收合格后支付至合同款的70%，即</w:t>
      </w:r>
      <w:r>
        <w:rPr>
          <w:rFonts w:hint="eastAsia" w:ascii="宋体" w:hAnsi="宋体"/>
          <w:szCs w:val="21"/>
          <w:u w:val="single"/>
        </w:rPr>
        <w:t xml:space="preserve">     </w:t>
      </w:r>
      <w:r>
        <w:rPr>
          <w:rFonts w:hint="eastAsia" w:ascii="宋体" w:hAnsi="宋体"/>
          <w:szCs w:val="21"/>
        </w:rPr>
        <w:t>￥</w:t>
      </w:r>
      <w:r>
        <w:rPr>
          <w:rFonts w:hint="eastAsia" w:ascii="宋体" w:hAnsi="宋体"/>
          <w:szCs w:val="21"/>
          <w:u w:val="single"/>
        </w:rPr>
        <w:t xml:space="preserve">     </w:t>
      </w:r>
      <w:r>
        <w:rPr>
          <w:rFonts w:hint="eastAsia" w:ascii="宋体" w:hAnsi="宋体"/>
          <w:szCs w:val="21"/>
        </w:rPr>
        <w:t>元；第三期，合同款的30%由甲方在2025年12月20日前支付完成。</w:t>
      </w:r>
    </w:p>
    <w:p w14:paraId="213ABBA5">
      <w:pPr>
        <w:tabs>
          <w:tab w:val="left" w:pos="360"/>
        </w:tabs>
        <w:spacing w:line="400" w:lineRule="exact"/>
        <w:ind w:firstLine="420" w:firstLineChars="200"/>
        <w:rPr>
          <w:rFonts w:hint="eastAsia" w:ascii="宋体" w:hAnsi="宋体"/>
          <w:szCs w:val="21"/>
        </w:rPr>
      </w:pPr>
      <w:r>
        <w:rPr>
          <w:rFonts w:hint="eastAsia" w:ascii="宋体" w:hAnsi="宋体"/>
          <w:szCs w:val="21"/>
        </w:rPr>
        <w:t>6.3货物发票由乙方按国家有关财税规定开具给甲方。</w:t>
      </w:r>
      <w:bookmarkStart w:id="95" w:name="_Toc81879418"/>
    </w:p>
    <w:p w14:paraId="653D7C42">
      <w:pPr>
        <w:tabs>
          <w:tab w:val="left" w:pos="360"/>
          <w:tab w:val="left" w:pos="540"/>
        </w:tabs>
        <w:spacing w:line="400" w:lineRule="exact"/>
        <w:ind w:firstLine="482" w:firstLineChars="200"/>
        <w:rPr>
          <w:rFonts w:hint="eastAsia" w:ascii="宋体" w:hAnsi="宋体"/>
          <w:b/>
          <w:bCs/>
          <w:sz w:val="24"/>
          <w:szCs w:val="24"/>
        </w:rPr>
      </w:pPr>
      <w:r>
        <w:rPr>
          <w:rFonts w:hint="eastAsia" w:ascii="宋体" w:hAnsi="宋体"/>
          <w:b/>
          <w:bCs/>
          <w:sz w:val="24"/>
        </w:rPr>
        <w:t>7.</w:t>
      </w:r>
      <w:r>
        <w:rPr>
          <w:rFonts w:hint="eastAsia" w:ascii="宋体" w:hAnsi="宋体"/>
          <w:sz w:val="24"/>
        </w:rPr>
        <w:t xml:space="preserve"> </w:t>
      </w:r>
      <w:r>
        <w:rPr>
          <w:rFonts w:hint="eastAsia" w:ascii="宋体" w:hAnsi="宋体"/>
          <w:b/>
          <w:bCs/>
          <w:sz w:val="24"/>
        </w:rPr>
        <w:t>履约约定：</w:t>
      </w:r>
      <w:bookmarkEnd w:id="95"/>
    </w:p>
    <w:p w14:paraId="02D4EF95">
      <w:pPr>
        <w:tabs>
          <w:tab w:val="left" w:pos="360"/>
        </w:tabs>
        <w:spacing w:line="400" w:lineRule="exact"/>
        <w:ind w:firstLine="420" w:firstLineChars="200"/>
        <w:rPr>
          <w:rFonts w:hint="eastAsia" w:ascii="宋体" w:hAnsi="宋体"/>
          <w:szCs w:val="21"/>
        </w:rPr>
      </w:pPr>
      <w:r>
        <w:rPr>
          <w:rFonts w:hint="eastAsia" w:ascii="宋体" w:hAnsi="宋体"/>
          <w:szCs w:val="21"/>
        </w:rPr>
        <w:t>7.1在供货过程中，若未按期供货的每延迟1天将按未按期供货货款的1%予以处罚扣减；若供货出现瑕疵但尚未影响使用，按供货货款的1-5%予以处罚扣减；若严重偏离采购技术标准供货，造成项目要求不达标的将不付货款，本次所供产品全部退货，并根据此次供货情况对采购单位造成的损失进行赔偿。</w:t>
      </w:r>
    </w:p>
    <w:p w14:paraId="3DF7E76B">
      <w:pPr>
        <w:tabs>
          <w:tab w:val="left" w:pos="360"/>
        </w:tabs>
        <w:spacing w:line="400" w:lineRule="exact"/>
        <w:ind w:firstLine="420" w:firstLineChars="200"/>
        <w:rPr>
          <w:rFonts w:hint="eastAsia" w:ascii="宋体" w:hAnsi="宋体"/>
          <w:szCs w:val="21"/>
        </w:rPr>
      </w:pPr>
      <w:r>
        <w:rPr>
          <w:rFonts w:hint="eastAsia" w:ascii="宋体" w:hAnsi="宋体"/>
          <w:szCs w:val="21"/>
        </w:rPr>
        <w:t>7.2甲方无正当理由拒收货物，拒付货款的，甲方向乙方偿付该批货物总额10%的违约金。</w:t>
      </w:r>
    </w:p>
    <w:p w14:paraId="6A75C7DE">
      <w:pPr>
        <w:tabs>
          <w:tab w:val="left" w:pos="360"/>
        </w:tabs>
        <w:spacing w:line="400" w:lineRule="exact"/>
        <w:ind w:firstLine="420" w:firstLineChars="200"/>
        <w:rPr>
          <w:rFonts w:hint="eastAsia" w:ascii="宋体" w:hAnsi="宋体"/>
          <w:szCs w:val="21"/>
        </w:rPr>
      </w:pPr>
      <w:r>
        <w:rPr>
          <w:rFonts w:hint="eastAsia" w:ascii="宋体" w:hAnsi="宋体"/>
          <w:szCs w:val="21"/>
        </w:rPr>
        <w:t>7.3甲方无正当理由逾期付款的，则每日按该批货物总额3‰向乙方偿付违约金。</w:t>
      </w:r>
    </w:p>
    <w:p w14:paraId="438171E1">
      <w:pPr>
        <w:tabs>
          <w:tab w:val="left" w:pos="360"/>
        </w:tabs>
        <w:spacing w:line="400" w:lineRule="exact"/>
        <w:ind w:firstLine="420" w:firstLineChars="200"/>
        <w:rPr>
          <w:rFonts w:hint="eastAsia" w:ascii="宋体" w:hAnsi="宋体"/>
          <w:szCs w:val="21"/>
        </w:rPr>
      </w:pPr>
      <w:r>
        <w:rPr>
          <w:rFonts w:hint="eastAsia" w:ascii="宋体" w:hAnsi="宋体"/>
          <w:szCs w:val="21"/>
        </w:rPr>
        <w:t>7.4因乙方不能按期交货，甲方有权购买其他产品替代该批货物，由此产生的差价损失由乙方支付。</w:t>
      </w:r>
      <w:bookmarkStart w:id="96" w:name="_Toc81879419"/>
      <w:r>
        <w:rPr>
          <w:rFonts w:hint="eastAsia" w:ascii="宋体" w:hAnsi="宋体"/>
          <w:szCs w:val="21"/>
        </w:rPr>
        <w:t xml:space="preserve"> </w:t>
      </w:r>
    </w:p>
    <w:p w14:paraId="57FAA399">
      <w:pPr>
        <w:tabs>
          <w:tab w:val="left" w:pos="360"/>
        </w:tabs>
        <w:spacing w:line="400" w:lineRule="exact"/>
        <w:ind w:firstLine="420" w:firstLineChars="200"/>
        <w:rPr>
          <w:rFonts w:hint="eastAsia" w:ascii="宋体" w:hAnsi="宋体"/>
          <w:szCs w:val="21"/>
        </w:rPr>
      </w:pPr>
      <w:r>
        <w:rPr>
          <w:rFonts w:hint="eastAsia" w:ascii="宋体" w:hAnsi="宋体"/>
          <w:szCs w:val="21"/>
        </w:rPr>
        <w:t>7.5乙方必须严格按照相关的中国数据保护法律、各级各部门有关规定和标准规范，保证所接触到的一切采购单位数据不泄露，更不得作为商业的目的而出售，如果违反则必须承担相应的法律责任。</w:t>
      </w:r>
    </w:p>
    <w:p w14:paraId="4562FCC6">
      <w:pPr>
        <w:tabs>
          <w:tab w:val="left" w:pos="360"/>
        </w:tabs>
        <w:spacing w:line="400" w:lineRule="exact"/>
        <w:ind w:firstLine="420" w:firstLineChars="200"/>
        <w:rPr>
          <w:rFonts w:hint="eastAsia" w:ascii="宋体" w:hAnsi="宋体"/>
          <w:szCs w:val="21"/>
        </w:rPr>
      </w:pPr>
      <w:r>
        <w:rPr>
          <w:rFonts w:hint="eastAsia" w:ascii="宋体" w:hAnsi="宋体"/>
          <w:szCs w:val="21"/>
        </w:rPr>
        <w:t>7.6乙方每发生一次不能按照服务要求开展服务的情况，必须按成交金额的1%赔偿损失费，采购单位将发出书面通知，并从待付款中扣除。</w:t>
      </w:r>
    </w:p>
    <w:p w14:paraId="018809C1">
      <w:pPr>
        <w:tabs>
          <w:tab w:val="left" w:pos="360"/>
        </w:tabs>
        <w:spacing w:line="400" w:lineRule="exact"/>
        <w:ind w:firstLine="420" w:firstLineChars="200"/>
        <w:rPr>
          <w:rFonts w:hint="eastAsia" w:ascii="宋体" w:hAnsi="宋体"/>
          <w:szCs w:val="21"/>
        </w:rPr>
      </w:pPr>
      <w:r>
        <w:rPr>
          <w:rFonts w:ascii="宋体" w:hAnsi="宋体"/>
          <w:szCs w:val="21"/>
        </w:rPr>
        <w:t>7.7</w:t>
      </w:r>
      <w:r>
        <w:rPr>
          <w:rFonts w:hint="eastAsia" w:ascii="宋体" w:hAnsi="宋体"/>
          <w:szCs w:val="21"/>
        </w:rPr>
        <w:t>乙方必须严格按照相关的中国数据保护法律、各级各部门有关规定和标准规范，做好本次项目中租赁设备的安装调试工作，如果产生任何不良后果，乙方必须承担相应的全部责任，负责完成全部善后工作。</w:t>
      </w:r>
    </w:p>
    <w:p w14:paraId="5AEAF213">
      <w:pPr>
        <w:tabs>
          <w:tab w:val="left" w:pos="360"/>
          <w:tab w:val="left" w:pos="540"/>
        </w:tabs>
        <w:spacing w:line="400" w:lineRule="exact"/>
        <w:ind w:firstLine="482" w:firstLineChars="200"/>
        <w:rPr>
          <w:rFonts w:hint="eastAsia" w:ascii="宋体" w:hAnsi="宋体"/>
          <w:b/>
          <w:bCs/>
          <w:sz w:val="24"/>
          <w:szCs w:val="24"/>
        </w:rPr>
      </w:pPr>
      <w:r>
        <w:rPr>
          <w:rFonts w:hint="eastAsia" w:ascii="宋体" w:hAnsi="宋体"/>
          <w:b/>
          <w:bCs/>
          <w:sz w:val="24"/>
        </w:rPr>
        <w:t>8.不可抗力：</w:t>
      </w:r>
      <w:bookmarkEnd w:id="96"/>
    </w:p>
    <w:p w14:paraId="0255AF41">
      <w:pPr>
        <w:tabs>
          <w:tab w:val="left" w:pos="360"/>
        </w:tabs>
        <w:spacing w:line="400" w:lineRule="exact"/>
        <w:ind w:firstLine="420" w:firstLineChars="200"/>
        <w:rPr>
          <w:rFonts w:hint="eastAsia" w:ascii="宋体" w:hAnsi="宋体"/>
          <w:szCs w:val="21"/>
        </w:rPr>
      </w:pPr>
      <w:r>
        <w:rPr>
          <w:rFonts w:hint="eastAsia" w:ascii="宋体" w:hAnsi="宋体"/>
          <w:szCs w:val="21"/>
        </w:rPr>
        <w:t>8.1由于不可抗力因素（指火灾、地震、洪水、战争等）使乙方不能在合同规定的期限内交货时，乙方必须立即以书面形式通知甲方，并以书面形式向甲方提供有关政府机关所出具的不可抗力因素证明。</w:t>
      </w:r>
    </w:p>
    <w:p w14:paraId="2C310238">
      <w:pPr>
        <w:tabs>
          <w:tab w:val="left" w:pos="360"/>
        </w:tabs>
        <w:spacing w:line="400" w:lineRule="exact"/>
        <w:ind w:firstLine="420" w:firstLineChars="200"/>
        <w:rPr>
          <w:rFonts w:hint="eastAsia" w:ascii="宋体" w:hAnsi="宋体"/>
          <w:szCs w:val="21"/>
        </w:rPr>
      </w:pPr>
      <w:r>
        <w:rPr>
          <w:rFonts w:hint="eastAsia" w:ascii="宋体" w:hAnsi="宋体"/>
          <w:szCs w:val="21"/>
        </w:rPr>
        <w:t>8.2在不可抗力发生时，乙方应尽快以书面形式将不可抗力的情况和原因通知甲方。除非甲方书面另有要求，乙方应尽可能继续履行合同义务，以及寻求合理的方案履行未受不可抗力影响的其它事项。如因不可抗力导致合同不能履约，并在30天内不能恢复履约，则任何一方可提出终止合同。在这种情况下，双方应协商解决合同终止以前双方应得的利益问题。</w:t>
      </w:r>
      <w:bookmarkStart w:id="97" w:name="_Toc81879421"/>
    </w:p>
    <w:p w14:paraId="6F2EDB43">
      <w:pPr>
        <w:snapToGrid w:val="0"/>
        <w:spacing w:line="400" w:lineRule="exact"/>
        <w:ind w:firstLine="482" w:firstLineChars="200"/>
        <w:jc w:val="left"/>
        <w:outlineLvl w:val="0"/>
        <w:rPr>
          <w:rFonts w:hint="eastAsia" w:ascii="宋体" w:hAnsi="宋体"/>
          <w:b/>
          <w:bCs/>
          <w:sz w:val="24"/>
          <w:szCs w:val="24"/>
        </w:rPr>
      </w:pPr>
      <w:r>
        <w:rPr>
          <w:rFonts w:hint="eastAsia" w:ascii="宋体" w:hAnsi="宋体"/>
          <w:b/>
          <w:bCs/>
          <w:sz w:val="24"/>
        </w:rPr>
        <w:t>9.争议解决：</w:t>
      </w:r>
      <w:bookmarkEnd w:id="97"/>
    </w:p>
    <w:p w14:paraId="739E7DAA">
      <w:pPr>
        <w:spacing w:line="400" w:lineRule="exact"/>
        <w:ind w:firstLine="420" w:firstLineChars="200"/>
        <w:rPr>
          <w:rFonts w:hint="eastAsia" w:ascii="宋体" w:hAnsi="宋体"/>
          <w:szCs w:val="21"/>
        </w:rPr>
      </w:pPr>
      <w:r>
        <w:rPr>
          <w:rFonts w:hint="eastAsia" w:ascii="宋体" w:hAnsi="宋体"/>
          <w:szCs w:val="21"/>
        </w:rPr>
        <w:t>9.1本合同发生争议，由双方协商或调解解决，协商或调解不成时可以向项目履行地人民法院起诉。</w:t>
      </w:r>
      <w:bookmarkStart w:id="98" w:name="_Toc81879422"/>
    </w:p>
    <w:p w14:paraId="2247EB5B">
      <w:pPr>
        <w:spacing w:line="400" w:lineRule="exact"/>
        <w:ind w:firstLine="482" w:firstLineChars="200"/>
        <w:rPr>
          <w:rFonts w:hint="eastAsia" w:ascii="宋体" w:hAnsi="宋体"/>
          <w:b/>
          <w:bCs/>
          <w:sz w:val="24"/>
          <w:szCs w:val="24"/>
        </w:rPr>
      </w:pPr>
      <w:r>
        <w:rPr>
          <w:rFonts w:hint="eastAsia" w:ascii="宋体" w:hAnsi="宋体"/>
          <w:b/>
          <w:bCs/>
          <w:sz w:val="24"/>
        </w:rPr>
        <w:t>10.合同构成：</w:t>
      </w:r>
      <w:bookmarkEnd w:id="98"/>
    </w:p>
    <w:p w14:paraId="3C1CBAA1">
      <w:pPr>
        <w:spacing w:line="400" w:lineRule="exact"/>
        <w:ind w:firstLine="420" w:firstLineChars="200"/>
        <w:rPr>
          <w:rFonts w:hint="eastAsia" w:ascii="宋体" w:hAnsi="宋体"/>
          <w:szCs w:val="21"/>
        </w:rPr>
      </w:pPr>
      <w:r>
        <w:rPr>
          <w:rFonts w:hint="eastAsia" w:ascii="宋体" w:hAnsi="宋体"/>
          <w:szCs w:val="21"/>
        </w:rPr>
        <w:t>10.1下述文件是构成合同不可分割的部分，具有同等的法律效力，应一并阅读和理解。</w:t>
      </w:r>
    </w:p>
    <w:p w14:paraId="353091A6">
      <w:pPr>
        <w:numPr>
          <w:ilvl w:val="0"/>
          <w:numId w:val="4"/>
        </w:numPr>
        <w:tabs>
          <w:tab w:val="left" w:pos="360"/>
        </w:tabs>
        <w:spacing w:line="400" w:lineRule="exact"/>
        <w:rPr>
          <w:rFonts w:hint="eastAsia" w:ascii="宋体" w:hAnsi="宋体"/>
          <w:szCs w:val="21"/>
        </w:rPr>
      </w:pPr>
      <w:bookmarkStart w:id="99" w:name="_Toc81879423"/>
      <w:r>
        <w:rPr>
          <w:rFonts w:hint="eastAsia" w:ascii="宋体" w:hAnsi="宋体"/>
          <w:szCs w:val="21"/>
        </w:rPr>
        <w:t>采购文件；</w:t>
      </w:r>
    </w:p>
    <w:p w14:paraId="23505B02">
      <w:pPr>
        <w:numPr>
          <w:ilvl w:val="0"/>
          <w:numId w:val="4"/>
        </w:numPr>
        <w:tabs>
          <w:tab w:val="left" w:pos="360"/>
        </w:tabs>
        <w:spacing w:line="400" w:lineRule="exact"/>
        <w:rPr>
          <w:rFonts w:hint="eastAsia" w:ascii="宋体" w:hAnsi="宋体"/>
          <w:szCs w:val="21"/>
        </w:rPr>
      </w:pPr>
      <w:r>
        <w:rPr>
          <w:rFonts w:hint="eastAsia" w:ascii="宋体" w:hAnsi="宋体"/>
          <w:szCs w:val="21"/>
        </w:rPr>
        <w:t>中标通知书；</w:t>
      </w:r>
    </w:p>
    <w:p w14:paraId="5CC01D10">
      <w:pPr>
        <w:numPr>
          <w:ilvl w:val="0"/>
          <w:numId w:val="4"/>
        </w:numPr>
        <w:tabs>
          <w:tab w:val="left" w:pos="360"/>
        </w:tabs>
        <w:spacing w:line="400" w:lineRule="exact"/>
        <w:rPr>
          <w:rFonts w:hint="eastAsia" w:ascii="宋体" w:hAnsi="宋体"/>
          <w:szCs w:val="21"/>
        </w:rPr>
      </w:pPr>
      <w:r>
        <w:rPr>
          <w:rFonts w:hint="eastAsia" w:ascii="宋体" w:hAnsi="宋体"/>
          <w:szCs w:val="21"/>
        </w:rPr>
        <w:t>磋商响应文件；</w:t>
      </w:r>
    </w:p>
    <w:p w14:paraId="5127D7A3">
      <w:pPr>
        <w:tabs>
          <w:tab w:val="left" w:pos="360"/>
        </w:tabs>
        <w:spacing w:line="400" w:lineRule="exact"/>
        <w:ind w:firstLine="482" w:firstLineChars="200"/>
        <w:rPr>
          <w:rFonts w:hint="eastAsia" w:ascii="宋体" w:hAnsi="宋体"/>
          <w:b/>
          <w:bCs/>
          <w:sz w:val="24"/>
          <w:szCs w:val="24"/>
        </w:rPr>
      </w:pPr>
      <w:r>
        <w:rPr>
          <w:rFonts w:hint="eastAsia" w:ascii="宋体" w:hAnsi="宋体"/>
          <w:b/>
          <w:bCs/>
          <w:sz w:val="24"/>
        </w:rPr>
        <w:t>11.合同数量：</w:t>
      </w:r>
      <w:bookmarkEnd w:id="99"/>
    </w:p>
    <w:p w14:paraId="0088667B">
      <w:pPr>
        <w:tabs>
          <w:tab w:val="left" w:pos="360"/>
        </w:tabs>
        <w:spacing w:line="400" w:lineRule="exact"/>
        <w:ind w:firstLine="420" w:firstLineChars="200"/>
        <w:rPr>
          <w:rFonts w:hint="eastAsia" w:ascii="宋体" w:hAnsi="宋体"/>
          <w:szCs w:val="21"/>
        </w:rPr>
      </w:pPr>
      <w:r>
        <w:rPr>
          <w:rFonts w:hint="eastAsia" w:ascii="宋体" w:hAnsi="宋体"/>
          <w:szCs w:val="21"/>
        </w:rPr>
        <w:t>11.1本合同壹式肆份，具有同等法律效力，甲方执贰份，乙方执贰份。</w:t>
      </w:r>
      <w:bookmarkStart w:id="100" w:name="_Toc81879424"/>
    </w:p>
    <w:p w14:paraId="0BD01D22">
      <w:pPr>
        <w:tabs>
          <w:tab w:val="left" w:pos="360"/>
        </w:tabs>
        <w:spacing w:line="400" w:lineRule="exact"/>
        <w:ind w:firstLine="482" w:firstLineChars="200"/>
        <w:rPr>
          <w:rFonts w:hint="eastAsia" w:ascii="宋体" w:hAnsi="宋体"/>
          <w:b/>
          <w:bCs/>
          <w:sz w:val="24"/>
          <w:szCs w:val="24"/>
        </w:rPr>
      </w:pPr>
      <w:r>
        <w:rPr>
          <w:rFonts w:hint="eastAsia" w:ascii="宋体" w:hAnsi="宋体"/>
          <w:b/>
          <w:bCs/>
          <w:sz w:val="24"/>
        </w:rPr>
        <w:t>12.合同未尽事宜：</w:t>
      </w:r>
      <w:bookmarkEnd w:id="100"/>
    </w:p>
    <w:p w14:paraId="49FA476B">
      <w:pPr>
        <w:tabs>
          <w:tab w:val="left" w:pos="360"/>
        </w:tabs>
        <w:spacing w:line="400" w:lineRule="exact"/>
        <w:ind w:firstLine="420" w:firstLineChars="200"/>
        <w:rPr>
          <w:rFonts w:hint="eastAsia" w:ascii="宋体" w:hAnsi="宋体"/>
          <w:szCs w:val="21"/>
        </w:rPr>
      </w:pPr>
      <w:r>
        <w:rPr>
          <w:rFonts w:hint="eastAsia" w:ascii="宋体" w:hAnsi="宋体"/>
          <w:szCs w:val="21"/>
        </w:rPr>
        <w:t>12.1 乙方必需加强施工工人的安全生产教育，做到规范安全操作，并承担施工过程中的所有安全责任，一旦发生安全事故与甲方无关。</w:t>
      </w:r>
    </w:p>
    <w:p w14:paraId="21929D57">
      <w:pPr>
        <w:tabs>
          <w:tab w:val="left" w:pos="360"/>
        </w:tabs>
        <w:spacing w:line="400" w:lineRule="exact"/>
        <w:ind w:firstLine="420" w:firstLineChars="200"/>
        <w:rPr>
          <w:rFonts w:hint="eastAsia" w:ascii="宋体" w:hAnsi="宋体"/>
          <w:szCs w:val="21"/>
        </w:rPr>
      </w:pPr>
      <w:r>
        <w:rPr>
          <w:rFonts w:hint="eastAsia" w:ascii="宋体" w:hAnsi="宋体"/>
          <w:szCs w:val="21"/>
        </w:rPr>
        <w:t>12.2合同中未尽事宜，甲乙双方应友好协商，按国家有关法律、法规执行。</w:t>
      </w:r>
    </w:p>
    <w:p w14:paraId="10AADD16">
      <w:pPr>
        <w:pStyle w:val="20"/>
        <w:spacing w:line="400" w:lineRule="exact"/>
        <w:ind w:left="1260" w:hanging="420"/>
        <w:rPr>
          <w:szCs w:val="24"/>
        </w:rPr>
      </w:pPr>
    </w:p>
    <w:tbl>
      <w:tblPr>
        <w:tblStyle w:val="57"/>
        <w:tblW w:w="10314" w:type="dxa"/>
        <w:tblInd w:w="-108" w:type="dxa"/>
        <w:tblLayout w:type="autofit"/>
        <w:tblCellMar>
          <w:top w:w="0" w:type="dxa"/>
          <w:left w:w="108" w:type="dxa"/>
          <w:bottom w:w="0" w:type="dxa"/>
          <w:right w:w="108" w:type="dxa"/>
        </w:tblCellMar>
      </w:tblPr>
      <w:tblGrid>
        <w:gridCol w:w="4786"/>
        <w:gridCol w:w="5528"/>
      </w:tblGrid>
      <w:tr w14:paraId="41284D2A">
        <w:tc>
          <w:tcPr>
            <w:tcW w:w="4786" w:type="dxa"/>
          </w:tcPr>
          <w:p w14:paraId="05F05D9A">
            <w:pPr>
              <w:tabs>
                <w:tab w:val="left" w:pos="360"/>
              </w:tabs>
              <w:spacing w:line="400" w:lineRule="exact"/>
              <w:rPr>
                <w:rFonts w:hint="eastAsia" w:ascii="宋体" w:hAnsi="宋体"/>
                <w:szCs w:val="21"/>
              </w:rPr>
            </w:pPr>
            <w:r>
              <w:rPr>
                <w:rFonts w:hint="eastAsia" w:ascii="宋体" w:hAnsi="宋体"/>
                <w:szCs w:val="21"/>
              </w:rPr>
              <w:t xml:space="preserve">甲方：南通市图书馆（盖章）  </w:t>
            </w:r>
          </w:p>
          <w:p w14:paraId="714390CB">
            <w:pPr>
              <w:tabs>
                <w:tab w:val="left" w:pos="360"/>
              </w:tabs>
              <w:spacing w:line="400" w:lineRule="exact"/>
              <w:rPr>
                <w:rFonts w:hint="eastAsia" w:ascii="宋体" w:hAnsi="宋体"/>
                <w:szCs w:val="21"/>
              </w:rPr>
            </w:pPr>
            <w:r>
              <w:rPr>
                <w:rFonts w:hint="eastAsia" w:ascii="宋体" w:hAnsi="宋体"/>
                <w:szCs w:val="21"/>
              </w:rPr>
              <w:t>地址： 南通市崇川区崇文路2号</w:t>
            </w:r>
          </w:p>
          <w:p w14:paraId="4816B042">
            <w:pPr>
              <w:tabs>
                <w:tab w:val="left" w:pos="360"/>
              </w:tabs>
              <w:spacing w:line="400" w:lineRule="exact"/>
              <w:rPr>
                <w:rFonts w:hint="eastAsia" w:ascii="宋体" w:hAnsi="宋体"/>
                <w:szCs w:val="21"/>
              </w:rPr>
            </w:pPr>
            <w:r>
              <w:rPr>
                <w:rFonts w:hint="eastAsia" w:ascii="宋体" w:hAnsi="宋体"/>
                <w:szCs w:val="21"/>
              </w:rPr>
              <w:t>代表人：</w:t>
            </w:r>
          </w:p>
          <w:p w14:paraId="2974BF33">
            <w:pPr>
              <w:tabs>
                <w:tab w:val="left" w:pos="360"/>
              </w:tabs>
              <w:spacing w:line="400" w:lineRule="exact"/>
              <w:rPr>
                <w:rFonts w:hint="eastAsia" w:ascii="宋体" w:hAnsi="宋体"/>
                <w:szCs w:val="21"/>
              </w:rPr>
            </w:pPr>
            <w:r>
              <w:rPr>
                <w:rFonts w:hint="eastAsia" w:ascii="宋体" w:hAnsi="宋体"/>
                <w:szCs w:val="21"/>
              </w:rPr>
              <w:t xml:space="preserve">    </w:t>
            </w:r>
          </w:p>
          <w:p w14:paraId="7ED7DE97">
            <w:pPr>
              <w:tabs>
                <w:tab w:val="left" w:pos="360"/>
              </w:tabs>
              <w:spacing w:line="400" w:lineRule="exact"/>
              <w:rPr>
                <w:rFonts w:hint="eastAsia" w:ascii="宋体" w:hAnsi="宋体"/>
                <w:szCs w:val="21"/>
              </w:rPr>
            </w:pPr>
            <w:r>
              <w:rPr>
                <w:rFonts w:hint="eastAsia" w:ascii="宋体" w:hAnsi="宋体"/>
                <w:szCs w:val="21"/>
              </w:rPr>
              <w:t>联系方式：</w:t>
            </w:r>
          </w:p>
          <w:p w14:paraId="3A83499B">
            <w:pPr>
              <w:tabs>
                <w:tab w:val="left" w:pos="360"/>
              </w:tabs>
              <w:spacing w:line="400" w:lineRule="exact"/>
              <w:rPr>
                <w:rFonts w:hint="eastAsia" w:ascii="宋体" w:hAnsi="宋体"/>
                <w:szCs w:val="21"/>
              </w:rPr>
            </w:pPr>
          </w:p>
          <w:p w14:paraId="59AB97CC">
            <w:pPr>
              <w:tabs>
                <w:tab w:val="left" w:pos="360"/>
              </w:tabs>
              <w:spacing w:line="400" w:lineRule="exact"/>
              <w:rPr>
                <w:rFonts w:hint="eastAsia" w:ascii="宋体" w:hAnsi="宋体"/>
                <w:sz w:val="24"/>
                <w:szCs w:val="24"/>
              </w:rPr>
            </w:pPr>
            <w:r>
              <w:rPr>
                <w:rFonts w:hint="eastAsia" w:ascii="宋体" w:hAnsi="宋体"/>
                <w:szCs w:val="21"/>
              </w:rPr>
              <w:t>日期：____年__月__日</w:t>
            </w:r>
          </w:p>
        </w:tc>
        <w:tc>
          <w:tcPr>
            <w:tcW w:w="5528" w:type="dxa"/>
          </w:tcPr>
          <w:p w14:paraId="26EB5ACE">
            <w:pPr>
              <w:tabs>
                <w:tab w:val="left" w:pos="360"/>
              </w:tabs>
              <w:spacing w:line="400" w:lineRule="exact"/>
              <w:rPr>
                <w:rFonts w:hint="eastAsia" w:ascii="宋体" w:hAnsi="宋体"/>
                <w:szCs w:val="21"/>
              </w:rPr>
            </w:pPr>
            <w:r>
              <w:rPr>
                <w:rFonts w:hint="eastAsia" w:ascii="宋体" w:hAnsi="宋体"/>
                <w:szCs w:val="21"/>
              </w:rPr>
              <w:t xml:space="preserve">乙方：  </w:t>
            </w:r>
          </w:p>
          <w:p w14:paraId="2E0767AE">
            <w:pPr>
              <w:tabs>
                <w:tab w:val="left" w:pos="360"/>
              </w:tabs>
              <w:spacing w:line="400" w:lineRule="exact"/>
              <w:rPr>
                <w:rFonts w:hint="eastAsia" w:ascii="宋体" w:hAnsi="宋体"/>
                <w:szCs w:val="21"/>
              </w:rPr>
            </w:pPr>
            <w:r>
              <w:rPr>
                <w:rFonts w:hint="eastAsia" w:ascii="宋体" w:hAnsi="宋体"/>
                <w:szCs w:val="21"/>
              </w:rPr>
              <w:t xml:space="preserve">地址： </w:t>
            </w:r>
          </w:p>
          <w:p w14:paraId="6D2145B1">
            <w:pPr>
              <w:tabs>
                <w:tab w:val="left" w:pos="360"/>
              </w:tabs>
              <w:spacing w:line="400" w:lineRule="exact"/>
              <w:rPr>
                <w:rFonts w:hint="eastAsia" w:ascii="宋体" w:hAnsi="宋体"/>
                <w:szCs w:val="21"/>
              </w:rPr>
            </w:pPr>
            <w:r>
              <w:rPr>
                <w:rFonts w:hint="eastAsia" w:ascii="宋体" w:hAnsi="宋体"/>
                <w:szCs w:val="21"/>
              </w:rPr>
              <w:t>代表人：</w:t>
            </w:r>
          </w:p>
          <w:p w14:paraId="307B7C15">
            <w:pPr>
              <w:tabs>
                <w:tab w:val="left" w:pos="360"/>
              </w:tabs>
              <w:spacing w:line="400" w:lineRule="exact"/>
              <w:rPr>
                <w:rFonts w:hint="eastAsia" w:ascii="宋体" w:hAnsi="宋体"/>
                <w:szCs w:val="21"/>
              </w:rPr>
            </w:pPr>
            <w:r>
              <w:rPr>
                <w:rFonts w:hint="eastAsia" w:ascii="宋体" w:hAnsi="宋体"/>
                <w:szCs w:val="21"/>
              </w:rPr>
              <w:t xml:space="preserve">联系方式： </w:t>
            </w:r>
          </w:p>
          <w:p w14:paraId="0C53F0F2">
            <w:pPr>
              <w:tabs>
                <w:tab w:val="left" w:pos="360"/>
              </w:tabs>
              <w:spacing w:line="400" w:lineRule="exact"/>
              <w:rPr>
                <w:rFonts w:hint="eastAsia" w:ascii="宋体" w:hAnsi="宋体"/>
                <w:szCs w:val="21"/>
              </w:rPr>
            </w:pPr>
            <w:r>
              <w:rPr>
                <w:rFonts w:hint="eastAsia" w:ascii="宋体" w:hAnsi="宋体"/>
                <w:szCs w:val="21"/>
              </w:rPr>
              <w:t xml:space="preserve">开户行： </w:t>
            </w:r>
          </w:p>
          <w:p w14:paraId="0B4F3A0D">
            <w:pPr>
              <w:tabs>
                <w:tab w:val="left" w:pos="360"/>
              </w:tabs>
              <w:spacing w:line="400" w:lineRule="exact"/>
              <w:rPr>
                <w:rFonts w:hint="eastAsia" w:ascii="宋体" w:hAnsi="宋体"/>
                <w:szCs w:val="21"/>
              </w:rPr>
            </w:pPr>
            <w:r>
              <w:rPr>
                <w:rFonts w:hint="eastAsia" w:ascii="宋体" w:hAnsi="宋体"/>
                <w:szCs w:val="21"/>
              </w:rPr>
              <w:t xml:space="preserve">账号： </w:t>
            </w:r>
          </w:p>
          <w:p w14:paraId="7972B8CB">
            <w:pPr>
              <w:tabs>
                <w:tab w:val="left" w:pos="360"/>
              </w:tabs>
              <w:spacing w:line="400" w:lineRule="exact"/>
              <w:rPr>
                <w:rFonts w:hint="eastAsia" w:ascii="宋体" w:hAnsi="宋体"/>
                <w:sz w:val="24"/>
                <w:szCs w:val="24"/>
              </w:rPr>
            </w:pPr>
            <w:r>
              <w:rPr>
                <w:rFonts w:hint="eastAsia" w:ascii="宋体" w:hAnsi="宋体"/>
                <w:szCs w:val="21"/>
              </w:rPr>
              <w:t>日期：____年___月___日</w:t>
            </w:r>
          </w:p>
        </w:tc>
      </w:tr>
    </w:tbl>
    <w:p w14:paraId="42252331"/>
    <w:p w14:paraId="25C3EDF6">
      <w:pPr>
        <w:pStyle w:val="20"/>
        <w:ind w:left="1260" w:hanging="420"/>
      </w:pPr>
    </w:p>
    <w:p w14:paraId="688CC411">
      <w:pPr>
        <w:pStyle w:val="460"/>
      </w:pPr>
    </w:p>
    <w:p w14:paraId="7B4AA7E0">
      <w:pPr>
        <w:rPr>
          <w:b/>
          <w:bCs/>
        </w:rPr>
      </w:pPr>
    </w:p>
    <w:p w14:paraId="7A172532">
      <w:pPr>
        <w:rPr>
          <w:b/>
          <w:bCs/>
        </w:rPr>
      </w:pPr>
      <w:r>
        <w:rPr>
          <w:rFonts w:hint="eastAsia"/>
          <w:b/>
          <w:bCs/>
        </w:rPr>
        <w:t>附录：租赁设备技术参数</w:t>
      </w:r>
    </w:p>
    <w:p w14:paraId="64FAF3DC">
      <w:pPr>
        <w:spacing w:line="360" w:lineRule="auto"/>
        <w:ind w:firstLine="422" w:firstLineChars="200"/>
        <w:rPr>
          <w:rFonts w:hint="eastAsia" w:ascii="宋体" w:hAnsi="宋体"/>
          <w:b/>
          <w:bCs/>
          <w:szCs w:val="21"/>
        </w:rPr>
      </w:pPr>
      <w:r>
        <w:rPr>
          <w:rFonts w:hint="eastAsia" w:ascii="宋体" w:hAnsi="宋体"/>
          <w:b/>
          <w:bCs/>
          <w:szCs w:val="21"/>
        </w:rPr>
        <w:t>（1）上网行为管理设备参数：</w:t>
      </w:r>
    </w:p>
    <w:p w14:paraId="0A6A3324">
      <w:pPr>
        <w:spacing w:line="360" w:lineRule="auto"/>
        <w:ind w:firstLine="420" w:firstLineChars="200"/>
        <w:rPr>
          <w:rFonts w:hint="eastAsia" w:ascii="宋体" w:hAnsi="宋体"/>
          <w:szCs w:val="21"/>
        </w:rPr>
      </w:pPr>
    </w:p>
    <w:tbl>
      <w:tblPr>
        <w:tblStyle w:val="57"/>
        <w:tblW w:w="8961"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1"/>
        <w:gridCol w:w="7640"/>
      </w:tblGrid>
      <w:tr w14:paraId="033F5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tcBorders>
              <w:top w:val="single" w:color="auto" w:sz="4" w:space="0"/>
              <w:left w:val="single" w:color="auto" w:sz="4" w:space="0"/>
              <w:bottom w:val="single" w:color="auto" w:sz="4" w:space="0"/>
              <w:right w:val="single" w:color="auto" w:sz="4" w:space="0"/>
            </w:tcBorders>
            <w:vAlign w:val="center"/>
          </w:tcPr>
          <w:p w14:paraId="273894FE">
            <w:pPr>
              <w:spacing w:line="360" w:lineRule="auto"/>
              <w:jc w:val="center"/>
              <w:rPr>
                <w:rFonts w:hint="eastAsia" w:ascii="宋体" w:hAnsi="宋体"/>
                <w:szCs w:val="21"/>
              </w:rPr>
            </w:pPr>
            <w:r>
              <w:rPr>
                <w:rFonts w:hint="eastAsia" w:ascii="宋体" w:hAnsi="宋体"/>
                <w:szCs w:val="21"/>
              </w:rPr>
              <w:t>指标项</w:t>
            </w:r>
          </w:p>
        </w:tc>
        <w:tc>
          <w:tcPr>
            <w:tcW w:w="4263" w:type="pct"/>
            <w:tcBorders>
              <w:top w:val="single" w:color="auto" w:sz="4" w:space="0"/>
              <w:left w:val="single" w:color="auto" w:sz="4" w:space="0"/>
              <w:bottom w:val="single" w:color="auto" w:sz="4" w:space="0"/>
              <w:right w:val="single" w:color="auto" w:sz="4" w:space="0"/>
            </w:tcBorders>
            <w:vAlign w:val="bottom"/>
          </w:tcPr>
          <w:p w14:paraId="40B88E7E">
            <w:pPr>
              <w:spacing w:line="360" w:lineRule="auto"/>
              <w:ind w:firstLine="420" w:firstLineChars="200"/>
              <w:jc w:val="center"/>
              <w:rPr>
                <w:rFonts w:hint="eastAsia" w:ascii="宋体" w:hAnsi="宋体"/>
                <w:szCs w:val="21"/>
              </w:rPr>
            </w:pPr>
            <w:r>
              <w:rPr>
                <w:rFonts w:hint="eastAsia" w:ascii="宋体" w:hAnsi="宋体"/>
                <w:szCs w:val="21"/>
              </w:rPr>
              <w:t>详细参数</w:t>
            </w:r>
          </w:p>
        </w:tc>
      </w:tr>
      <w:tr w14:paraId="62253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737" w:type="pct"/>
            <w:tcBorders>
              <w:top w:val="single" w:color="auto" w:sz="4" w:space="0"/>
              <w:left w:val="single" w:color="auto" w:sz="4" w:space="0"/>
              <w:bottom w:val="single" w:color="auto" w:sz="4" w:space="0"/>
              <w:right w:val="single" w:color="auto" w:sz="4" w:space="0"/>
            </w:tcBorders>
            <w:vAlign w:val="center"/>
          </w:tcPr>
          <w:p w14:paraId="2FF11CC9">
            <w:pPr>
              <w:spacing w:line="360" w:lineRule="auto"/>
              <w:rPr>
                <w:rFonts w:hint="eastAsia" w:ascii="宋体" w:hAnsi="宋体"/>
                <w:szCs w:val="21"/>
              </w:rPr>
            </w:pPr>
            <w:r>
              <w:rPr>
                <w:rFonts w:hint="eastAsia" w:ascii="宋体" w:hAnsi="宋体"/>
                <w:szCs w:val="21"/>
              </w:rPr>
              <w:t>基本要求</w:t>
            </w:r>
          </w:p>
        </w:tc>
        <w:tc>
          <w:tcPr>
            <w:tcW w:w="4263" w:type="pct"/>
            <w:tcBorders>
              <w:top w:val="single" w:color="auto" w:sz="4" w:space="0"/>
              <w:left w:val="single" w:color="auto" w:sz="4" w:space="0"/>
              <w:bottom w:val="single" w:color="auto" w:sz="4" w:space="0"/>
              <w:right w:val="single" w:color="auto" w:sz="4" w:space="0"/>
            </w:tcBorders>
            <w:vAlign w:val="bottom"/>
          </w:tcPr>
          <w:p w14:paraId="4FEA149A">
            <w:pPr>
              <w:spacing w:line="360" w:lineRule="auto"/>
              <w:ind w:firstLine="420" w:firstLineChars="200"/>
              <w:rPr>
                <w:rFonts w:hint="eastAsia" w:ascii="宋体" w:hAnsi="宋体"/>
                <w:szCs w:val="21"/>
              </w:rPr>
            </w:pPr>
            <w:r>
              <w:rPr>
                <w:rFonts w:hint="eastAsia" w:ascii="宋体" w:hAnsi="宋体"/>
                <w:szCs w:val="21"/>
              </w:rPr>
              <w:t>★采用国产化软硬件一体、标准机架式设备，硬件设备内存≥8G，硬盘容量≥960G，接口≥6千兆电口，包含</w:t>
            </w:r>
            <w:r>
              <w:rPr>
                <w:rFonts w:hint="eastAsia" w:ascii="宋体" w:hAnsi="宋体" w:cs="Courier New"/>
                <w:kern w:val="0"/>
                <w:szCs w:val="21"/>
              </w:rPr>
              <w:t>行为管理系统软件URL&amp;应用识别规则库一年升级服务</w:t>
            </w:r>
            <w:r>
              <w:rPr>
                <w:rFonts w:hint="eastAsia" w:ascii="宋体" w:hAnsi="宋体"/>
                <w:szCs w:val="21"/>
              </w:rPr>
              <w:t xml:space="preserve">。 </w:t>
            </w:r>
          </w:p>
        </w:tc>
      </w:tr>
      <w:tr w14:paraId="12FE8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737" w:type="pct"/>
            <w:tcBorders>
              <w:top w:val="single" w:color="auto" w:sz="4" w:space="0"/>
              <w:left w:val="single" w:color="auto" w:sz="4" w:space="0"/>
              <w:bottom w:val="single" w:color="auto" w:sz="4" w:space="0"/>
              <w:right w:val="single" w:color="auto" w:sz="4" w:space="0"/>
            </w:tcBorders>
            <w:vAlign w:val="center"/>
          </w:tcPr>
          <w:p w14:paraId="47C89FA2">
            <w:pPr>
              <w:spacing w:line="360" w:lineRule="auto"/>
              <w:jc w:val="center"/>
              <w:rPr>
                <w:rFonts w:hint="eastAsia" w:ascii="宋体" w:hAnsi="宋体"/>
                <w:szCs w:val="21"/>
              </w:rPr>
            </w:pPr>
            <w:r>
              <w:rPr>
                <w:rFonts w:hint="eastAsia" w:ascii="宋体" w:hAnsi="宋体"/>
                <w:szCs w:val="21"/>
              </w:rPr>
              <w:t>性能要求</w:t>
            </w:r>
          </w:p>
        </w:tc>
        <w:tc>
          <w:tcPr>
            <w:tcW w:w="4263" w:type="pct"/>
            <w:tcBorders>
              <w:top w:val="single" w:color="auto" w:sz="4" w:space="0"/>
              <w:left w:val="single" w:color="auto" w:sz="4" w:space="0"/>
              <w:bottom w:val="single" w:color="auto" w:sz="4" w:space="0"/>
              <w:right w:val="single" w:color="auto" w:sz="4" w:space="0"/>
            </w:tcBorders>
            <w:vAlign w:val="bottom"/>
          </w:tcPr>
          <w:p w14:paraId="76A0D454">
            <w:pPr>
              <w:spacing w:line="360" w:lineRule="auto"/>
              <w:ind w:firstLine="420" w:firstLineChars="200"/>
              <w:rPr>
                <w:rFonts w:hint="eastAsia" w:ascii="宋体" w:hAnsi="宋体"/>
                <w:szCs w:val="21"/>
              </w:rPr>
            </w:pPr>
            <w:r>
              <w:rPr>
                <w:rFonts w:hint="eastAsia" w:ascii="宋体" w:hAnsi="宋体"/>
                <w:szCs w:val="21"/>
              </w:rPr>
              <w:t>★网络层吞吐量≥8G，应用层吞吐量≥1.1G,带宽性能≥750M，支持用户数≥5000，每秒新建连接数≥12000，最大并发连接数≥500000。</w:t>
            </w:r>
          </w:p>
        </w:tc>
      </w:tr>
      <w:tr w14:paraId="3B645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49ED3456">
            <w:pPr>
              <w:spacing w:line="360" w:lineRule="auto"/>
              <w:jc w:val="center"/>
              <w:rPr>
                <w:rFonts w:hint="eastAsia" w:ascii="宋体" w:hAnsi="宋体"/>
                <w:szCs w:val="21"/>
              </w:rPr>
            </w:pPr>
            <w:r>
              <w:rPr>
                <w:rFonts w:hint="eastAsia" w:ascii="宋体" w:hAnsi="宋体"/>
                <w:szCs w:val="21"/>
              </w:rPr>
              <w:t>部署方式</w:t>
            </w:r>
          </w:p>
        </w:tc>
        <w:tc>
          <w:tcPr>
            <w:tcW w:w="4263" w:type="pct"/>
            <w:tcBorders>
              <w:top w:val="single" w:color="auto" w:sz="4" w:space="0"/>
              <w:left w:val="single" w:color="auto" w:sz="4" w:space="0"/>
              <w:bottom w:val="single" w:color="auto" w:sz="4" w:space="0"/>
              <w:right w:val="single" w:color="auto" w:sz="4" w:space="0"/>
            </w:tcBorders>
            <w:vAlign w:val="bottom"/>
          </w:tcPr>
          <w:p w14:paraId="2BFD9C5D">
            <w:pPr>
              <w:spacing w:line="360" w:lineRule="auto"/>
              <w:ind w:firstLine="420" w:firstLineChars="200"/>
              <w:rPr>
                <w:rFonts w:hint="eastAsia" w:ascii="宋体" w:hAnsi="宋体"/>
                <w:szCs w:val="21"/>
              </w:rPr>
            </w:pPr>
            <w:r>
              <w:rPr>
                <w:rFonts w:hint="eastAsia" w:ascii="宋体" w:hAnsi="宋体"/>
                <w:szCs w:val="21"/>
              </w:rPr>
              <w:t>支持网关模式，网桥模式，旁路模式等多种部署模式。</w:t>
            </w:r>
          </w:p>
        </w:tc>
      </w:tr>
      <w:tr w14:paraId="19BF4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143B7841">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48810C3C">
            <w:pPr>
              <w:spacing w:line="360" w:lineRule="auto"/>
              <w:ind w:firstLine="420" w:firstLineChars="200"/>
              <w:rPr>
                <w:rFonts w:hint="eastAsia" w:ascii="宋体" w:hAnsi="宋体"/>
                <w:szCs w:val="21"/>
              </w:rPr>
            </w:pPr>
            <w:r>
              <w:rPr>
                <w:rFonts w:hint="eastAsia" w:ascii="宋体" w:hAnsi="宋体"/>
                <w:szCs w:val="21"/>
              </w:rPr>
              <w:t>支持部署在IPv6环境中，设备接口及部署模式均支持ipv6配置，所有核心功能（上网认证、应用控制、流量控制、内容审计、日志报表等）都支持IPv6。</w:t>
            </w:r>
          </w:p>
        </w:tc>
      </w:tr>
      <w:tr w14:paraId="29185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737" w:type="pct"/>
            <w:tcBorders>
              <w:top w:val="single" w:color="auto" w:sz="4" w:space="0"/>
              <w:left w:val="single" w:color="auto" w:sz="4" w:space="0"/>
              <w:bottom w:val="single" w:color="auto" w:sz="4" w:space="0"/>
              <w:right w:val="single" w:color="auto" w:sz="4" w:space="0"/>
            </w:tcBorders>
            <w:vAlign w:val="center"/>
          </w:tcPr>
          <w:p w14:paraId="59910A57">
            <w:pPr>
              <w:spacing w:line="360" w:lineRule="auto"/>
              <w:jc w:val="center"/>
              <w:rPr>
                <w:rFonts w:hint="eastAsia" w:ascii="宋体" w:hAnsi="宋体"/>
                <w:szCs w:val="21"/>
              </w:rPr>
            </w:pPr>
            <w:r>
              <w:rPr>
                <w:rFonts w:hint="eastAsia" w:ascii="宋体" w:hAnsi="宋体"/>
                <w:szCs w:val="21"/>
              </w:rPr>
              <w:t>系统管理</w:t>
            </w:r>
          </w:p>
        </w:tc>
        <w:tc>
          <w:tcPr>
            <w:tcW w:w="4263" w:type="pct"/>
            <w:tcBorders>
              <w:top w:val="single" w:color="auto" w:sz="4" w:space="0"/>
              <w:left w:val="single" w:color="auto" w:sz="4" w:space="0"/>
              <w:bottom w:val="single" w:color="auto" w:sz="4" w:space="0"/>
              <w:right w:val="single" w:color="auto" w:sz="4" w:space="0"/>
            </w:tcBorders>
            <w:vAlign w:val="bottom"/>
          </w:tcPr>
          <w:p w14:paraId="2C468991">
            <w:pPr>
              <w:spacing w:line="360" w:lineRule="auto"/>
              <w:ind w:firstLine="420" w:firstLineChars="200"/>
              <w:rPr>
                <w:rFonts w:hint="eastAsia" w:ascii="宋体" w:hAnsi="宋体"/>
                <w:szCs w:val="21"/>
              </w:rPr>
            </w:pPr>
            <w:r>
              <w:rPr>
                <w:rFonts w:hint="eastAsia" w:ascii="宋体" w:hAnsi="宋体"/>
                <w:szCs w:val="21"/>
              </w:rPr>
              <w:t>支持攻击告警、移动终端管理告警、风险终端发现告警、web关键字过滤告警、杀毒告警、设备流量超限告警、磁盘/CPU/内存异常告警等。</w:t>
            </w:r>
          </w:p>
        </w:tc>
      </w:tr>
      <w:tr w14:paraId="29666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24E73D5F">
            <w:pPr>
              <w:spacing w:line="360" w:lineRule="auto"/>
              <w:jc w:val="center"/>
              <w:rPr>
                <w:rFonts w:hint="eastAsia" w:ascii="宋体" w:hAnsi="宋体"/>
                <w:szCs w:val="21"/>
              </w:rPr>
            </w:pPr>
            <w:r>
              <w:rPr>
                <w:rFonts w:hint="eastAsia" w:ascii="宋体" w:hAnsi="宋体"/>
                <w:szCs w:val="21"/>
              </w:rPr>
              <w:t>实时监控</w:t>
            </w:r>
          </w:p>
        </w:tc>
        <w:tc>
          <w:tcPr>
            <w:tcW w:w="4263" w:type="pct"/>
            <w:tcBorders>
              <w:top w:val="single" w:color="auto" w:sz="4" w:space="0"/>
              <w:left w:val="single" w:color="auto" w:sz="4" w:space="0"/>
              <w:bottom w:val="single" w:color="auto" w:sz="4" w:space="0"/>
              <w:right w:val="single" w:color="auto" w:sz="4" w:space="0"/>
            </w:tcBorders>
            <w:vAlign w:val="bottom"/>
          </w:tcPr>
          <w:p w14:paraId="562A21FA">
            <w:pPr>
              <w:spacing w:line="360" w:lineRule="auto"/>
              <w:ind w:firstLine="420" w:firstLineChars="200"/>
              <w:rPr>
                <w:rFonts w:hint="eastAsia" w:ascii="宋体" w:hAnsi="宋体"/>
                <w:szCs w:val="21"/>
              </w:rPr>
            </w:pPr>
            <w:r>
              <w:rPr>
                <w:rFonts w:hint="eastAsia" w:ascii="宋体" w:hAnsi="宋体"/>
                <w:szCs w:val="21"/>
              </w:rPr>
              <w:t>支持首页分析显示接入用户人数、终端类型；带宽质量分析、实时流量排名；泄密风险、违规访问、共享上网等行为风险情况。</w:t>
            </w:r>
          </w:p>
        </w:tc>
      </w:tr>
      <w:tr w14:paraId="5A457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58199766">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68D1F8DF">
            <w:pPr>
              <w:spacing w:line="360" w:lineRule="auto"/>
              <w:ind w:firstLine="420" w:firstLineChars="200"/>
              <w:rPr>
                <w:rFonts w:hint="eastAsia" w:ascii="宋体" w:hAnsi="宋体"/>
                <w:szCs w:val="21"/>
              </w:rPr>
            </w:pPr>
            <w:r>
              <w:rPr>
                <w:rFonts w:hint="eastAsia" w:ascii="宋体" w:hAnsi="宋体"/>
                <w:szCs w:val="21"/>
              </w:rPr>
              <w:t>支持查看当前设备的线路状态，线路带宽利用率以及当前策略的引流流量分布和实时的引流策略，支持设置线路流控策略。</w:t>
            </w:r>
          </w:p>
        </w:tc>
      </w:tr>
      <w:tr w14:paraId="1BF35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35944000">
            <w:pPr>
              <w:spacing w:line="360" w:lineRule="auto"/>
              <w:jc w:val="center"/>
              <w:rPr>
                <w:rFonts w:hint="eastAsia" w:ascii="宋体" w:hAnsi="宋体"/>
                <w:szCs w:val="21"/>
              </w:rPr>
            </w:pPr>
            <w:r>
              <w:rPr>
                <w:rFonts w:hint="eastAsia" w:ascii="宋体" w:hAnsi="宋体"/>
                <w:szCs w:val="21"/>
              </w:rPr>
              <w:t>认证方式</w:t>
            </w:r>
          </w:p>
        </w:tc>
        <w:tc>
          <w:tcPr>
            <w:tcW w:w="4263" w:type="pct"/>
            <w:tcBorders>
              <w:top w:val="single" w:color="auto" w:sz="4" w:space="0"/>
              <w:left w:val="single" w:color="auto" w:sz="4" w:space="0"/>
              <w:bottom w:val="single" w:color="auto" w:sz="4" w:space="0"/>
              <w:right w:val="single" w:color="auto" w:sz="4" w:space="0"/>
            </w:tcBorders>
            <w:vAlign w:val="bottom"/>
          </w:tcPr>
          <w:p w14:paraId="13681B7E">
            <w:pPr>
              <w:spacing w:line="360" w:lineRule="auto"/>
              <w:ind w:firstLine="420" w:firstLineChars="200"/>
              <w:rPr>
                <w:rFonts w:hint="eastAsia" w:ascii="宋体" w:hAnsi="宋体"/>
                <w:szCs w:val="21"/>
              </w:rPr>
            </w:pPr>
            <w:r>
              <w:rPr>
                <w:rFonts w:hint="eastAsia" w:ascii="宋体" w:hAnsi="宋体"/>
                <w:szCs w:val="21"/>
              </w:rPr>
              <w:t>支持冻结认证失败次数超过最大值的用户，在冻结时间结束后恢复登录。</w:t>
            </w:r>
          </w:p>
        </w:tc>
      </w:tr>
      <w:tr w14:paraId="3AE96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621AAB46">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34299943">
            <w:pPr>
              <w:spacing w:line="360" w:lineRule="auto"/>
              <w:ind w:firstLine="420" w:firstLineChars="200"/>
              <w:rPr>
                <w:rFonts w:hint="eastAsia" w:ascii="宋体" w:hAnsi="宋体"/>
                <w:szCs w:val="21"/>
              </w:rPr>
            </w:pPr>
            <w:r>
              <w:rPr>
                <w:rFonts w:hint="eastAsia" w:ascii="宋体" w:hAnsi="宋体"/>
                <w:szCs w:val="21"/>
              </w:rPr>
              <w:t>限制某个新用户只能在某个IP段、MAC段范围内登录。</w:t>
            </w:r>
          </w:p>
        </w:tc>
      </w:tr>
      <w:tr w14:paraId="5F4C8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27A184FE">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7A77C1A3">
            <w:pPr>
              <w:spacing w:line="360" w:lineRule="auto"/>
              <w:ind w:firstLine="420" w:firstLineChars="200"/>
              <w:rPr>
                <w:rFonts w:hint="eastAsia" w:ascii="宋体" w:hAnsi="宋体"/>
                <w:szCs w:val="21"/>
              </w:rPr>
            </w:pPr>
            <w:r>
              <w:rPr>
                <w:rFonts w:hint="eastAsia" w:ascii="宋体" w:hAnsi="宋体"/>
                <w:szCs w:val="21"/>
              </w:rPr>
              <w:t>支持自动注销指定时间内无流量的已认证用户。</w:t>
            </w:r>
          </w:p>
        </w:tc>
      </w:tr>
      <w:tr w14:paraId="667B7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150B2C58">
            <w:pPr>
              <w:spacing w:line="360" w:lineRule="auto"/>
              <w:jc w:val="center"/>
              <w:rPr>
                <w:rFonts w:hint="eastAsia" w:ascii="宋体" w:hAnsi="宋体"/>
                <w:szCs w:val="21"/>
              </w:rPr>
            </w:pPr>
            <w:r>
              <w:rPr>
                <w:rFonts w:hint="eastAsia" w:ascii="宋体" w:hAnsi="宋体"/>
                <w:szCs w:val="21"/>
              </w:rPr>
              <w:t>应用管理</w:t>
            </w:r>
          </w:p>
        </w:tc>
        <w:tc>
          <w:tcPr>
            <w:tcW w:w="4263" w:type="pct"/>
            <w:tcBorders>
              <w:top w:val="single" w:color="auto" w:sz="4" w:space="0"/>
              <w:left w:val="single" w:color="auto" w:sz="4" w:space="0"/>
              <w:bottom w:val="single" w:color="auto" w:sz="4" w:space="0"/>
              <w:right w:val="single" w:color="auto" w:sz="4" w:space="0"/>
            </w:tcBorders>
            <w:vAlign w:val="bottom"/>
          </w:tcPr>
          <w:p w14:paraId="68B0ECDB">
            <w:pPr>
              <w:spacing w:line="360" w:lineRule="auto"/>
              <w:ind w:firstLine="420" w:firstLineChars="200"/>
              <w:rPr>
                <w:rFonts w:hint="eastAsia" w:ascii="宋体" w:hAnsi="宋体"/>
                <w:szCs w:val="21"/>
              </w:rPr>
            </w:pPr>
            <w:r>
              <w:rPr>
                <w:rFonts w:hint="eastAsia" w:ascii="宋体" w:hAnsi="宋体"/>
                <w:szCs w:val="21"/>
              </w:rPr>
              <w:t>▲支持≥900种主流Saas应用，对Saas应用有默认分类标签，帮助客户统一配置策略（磋商响应时需提供产品功能截图）。</w:t>
            </w:r>
          </w:p>
        </w:tc>
      </w:tr>
      <w:tr w14:paraId="3C58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28F531D0">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6184BD1F">
            <w:pPr>
              <w:spacing w:line="360" w:lineRule="auto"/>
              <w:ind w:firstLine="420" w:firstLineChars="200"/>
              <w:rPr>
                <w:rFonts w:hint="eastAsia" w:ascii="宋体" w:hAnsi="宋体"/>
                <w:szCs w:val="21"/>
              </w:rPr>
            </w:pPr>
            <w:r>
              <w:rPr>
                <w:rFonts w:hint="eastAsia" w:ascii="宋体" w:hAnsi="宋体"/>
                <w:szCs w:val="21"/>
              </w:rPr>
              <w:t>▲设备内置应用识别规则库，支持≥9000条应用规则数、支持≥6000种以上的应用；支持根据标签选择应用，并支持给每个应用自定义标签；支持根据标签选择一类应用做控制（磋商响应时需提供产品功能截图）。</w:t>
            </w:r>
          </w:p>
        </w:tc>
      </w:tr>
      <w:tr w14:paraId="7C5C9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1E2F51CD">
            <w:pPr>
              <w:spacing w:line="360" w:lineRule="auto"/>
              <w:jc w:val="center"/>
              <w:rPr>
                <w:rFonts w:hint="eastAsia" w:ascii="宋体" w:hAnsi="宋体"/>
                <w:szCs w:val="21"/>
              </w:rPr>
            </w:pPr>
            <w:r>
              <w:rPr>
                <w:rFonts w:hint="eastAsia" w:ascii="宋体" w:hAnsi="宋体"/>
                <w:szCs w:val="21"/>
              </w:rPr>
              <w:t>网页审计</w:t>
            </w:r>
          </w:p>
        </w:tc>
        <w:tc>
          <w:tcPr>
            <w:tcW w:w="4263" w:type="pct"/>
            <w:tcBorders>
              <w:top w:val="single" w:color="auto" w:sz="4" w:space="0"/>
              <w:left w:val="single" w:color="auto" w:sz="4" w:space="0"/>
              <w:bottom w:val="single" w:color="auto" w:sz="4" w:space="0"/>
              <w:right w:val="single" w:color="auto" w:sz="4" w:space="0"/>
            </w:tcBorders>
            <w:vAlign w:val="bottom"/>
          </w:tcPr>
          <w:p w14:paraId="1861D607">
            <w:pPr>
              <w:spacing w:line="360" w:lineRule="auto"/>
              <w:ind w:firstLine="420" w:firstLineChars="200"/>
              <w:rPr>
                <w:rFonts w:hint="eastAsia" w:ascii="宋体" w:hAnsi="宋体"/>
                <w:szCs w:val="21"/>
              </w:rPr>
            </w:pPr>
            <w:r>
              <w:rPr>
                <w:rFonts w:hint="eastAsia" w:ascii="宋体" w:hAnsi="宋体"/>
                <w:szCs w:val="21"/>
              </w:rPr>
              <w:t>审计SSL网页时，支持加密证书自动分发功能，用户点击网页上的工具即可一次性安装完成。</w:t>
            </w:r>
          </w:p>
        </w:tc>
      </w:tr>
      <w:tr w14:paraId="43E52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076628EF">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753D1896">
            <w:pPr>
              <w:spacing w:line="360" w:lineRule="auto"/>
              <w:ind w:firstLine="420" w:firstLineChars="200"/>
              <w:rPr>
                <w:rFonts w:hint="eastAsia" w:ascii="宋体" w:hAnsi="宋体"/>
                <w:szCs w:val="21"/>
              </w:rPr>
            </w:pPr>
            <w:r>
              <w:rPr>
                <w:rFonts w:hint="eastAsia" w:ascii="宋体" w:hAnsi="宋体"/>
                <w:szCs w:val="21"/>
              </w:rPr>
              <w:t>▲支持客户端SSL解密，客户端会自动推送根证书安装（磋商响应时需提供产品功能截图）。</w:t>
            </w:r>
          </w:p>
        </w:tc>
      </w:tr>
      <w:tr w14:paraId="6AD52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4866E48D">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2E5AC21A">
            <w:pPr>
              <w:spacing w:line="360" w:lineRule="auto"/>
              <w:ind w:firstLine="420" w:firstLineChars="200"/>
              <w:rPr>
                <w:rFonts w:hint="eastAsia" w:ascii="宋体" w:hAnsi="宋体"/>
                <w:szCs w:val="21"/>
              </w:rPr>
            </w:pPr>
            <w:r>
              <w:rPr>
                <w:rFonts w:hint="eastAsia" w:ascii="宋体" w:hAnsi="宋体"/>
                <w:szCs w:val="21"/>
              </w:rPr>
              <w:t>支持查询和导出基于指定时间段/用户/用户组的文件审计、邮件收发、访问网站、即时通讯、发帖/微博、搜索关键字等详细用户行为的报表。</w:t>
            </w:r>
          </w:p>
        </w:tc>
      </w:tr>
      <w:tr w14:paraId="71153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0D5A615B">
            <w:pPr>
              <w:spacing w:line="360" w:lineRule="auto"/>
              <w:jc w:val="center"/>
              <w:rPr>
                <w:rFonts w:hint="eastAsia" w:ascii="宋体" w:hAnsi="宋体"/>
                <w:szCs w:val="21"/>
              </w:rPr>
            </w:pPr>
            <w:r>
              <w:rPr>
                <w:rFonts w:hint="eastAsia" w:ascii="宋体" w:hAnsi="宋体"/>
                <w:szCs w:val="21"/>
              </w:rPr>
              <w:t>邮件管理</w:t>
            </w:r>
          </w:p>
        </w:tc>
        <w:tc>
          <w:tcPr>
            <w:tcW w:w="4263" w:type="pct"/>
            <w:tcBorders>
              <w:top w:val="single" w:color="auto" w:sz="4" w:space="0"/>
              <w:left w:val="single" w:color="auto" w:sz="4" w:space="0"/>
              <w:bottom w:val="single" w:color="auto" w:sz="4" w:space="0"/>
              <w:right w:val="single" w:color="auto" w:sz="4" w:space="0"/>
            </w:tcBorders>
            <w:vAlign w:val="bottom"/>
          </w:tcPr>
          <w:p w14:paraId="5F5593D5">
            <w:pPr>
              <w:spacing w:line="360" w:lineRule="auto"/>
              <w:ind w:firstLine="420" w:firstLineChars="200"/>
              <w:rPr>
                <w:rFonts w:hint="eastAsia" w:ascii="宋体" w:hAnsi="宋体"/>
                <w:szCs w:val="21"/>
              </w:rPr>
            </w:pPr>
            <w:r>
              <w:rPr>
                <w:rFonts w:hint="eastAsia" w:ascii="宋体" w:hAnsi="宋体"/>
                <w:szCs w:val="21"/>
              </w:rPr>
              <w:t>支持根据源地址和目的地址过滤外发邮件；必须支持https网页全解密和按网站类别分类进行解密配置。</w:t>
            </w:r>
          </w:p>
        </w:tc>
      </w:tr>
      <w:tr w14:paraId="0BB41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57423000">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2138662A">
            <w:pPr>
              <w:spacing w:line="360" w:lineRule="auto"/>
              <w:ind w:firstLine="420" w:firstLineChars="200"/>
              <w:rPr>
                <w:rFonts w:hint="eastAsia" w:ascii="宋体" w:hAnsi="宋体"/>
                <w:szCs w:val="21"/>
              </w:rPr>
            </w:pPr>
            <w:r>
              <w:rPr>
                <w:rFonts w:hint="eastAsia" w:ascii="宋体" w:hAnsi="宋体"/>
                <w:szCs w:val="21"/>
              </w:rPr>
              <w:t>支持允许用户登录Webmail收邮件，而禁止发送Webmail邮件的功能。</w:t>
            </w:r>
          </w:p>
        </w:tc>
      </w:tr>
      <w:tr w14:paraId="7CDC1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37" w:type="pct"/>
            <w:vMerge w:val="restart"/>
            <w:tcBorders>
              <w:top w:val="single" w:color="auto" w:sz="4" w:space="0"/>
              <w:left w:val="single" w:color="auto" w:sz="4" w:space="0"/>
              <w:bottom w:val="single" w:color="auto" w:sz="4" w:space="0"/>
              <w:right w:val="single" w:color="auto" w:sz="4" w:space="0"/>
            </w:tcBorders>
            <w:vAlign w:val="center"/>
          </w:tcPr>
          <w:p w14:paraId="17EB9C5B">
            <w:pPr>
              <w:spacing w:line="360" w:lineRule="auto"/>
              <w:jc w:val="center"/>
              <w:rPr>
                <w:rFonts w:hint="eastAsia" w:ascii="宋体" w:hAnsi="宋体"/>
                <w:szCs w:val="21"/>
              </w:rPr>
            </w:pPr>
            <w:r>
              <w:rPr>
                <w:rFonts w:hint="eastAsia" w:ascii="宋体" w:hAnsi="宋体"/>
                <w:szCs w:val="21"/>
              </w:rPr>
              <w:t>流量管理</w:t>
            </w:r>
          </w:p>
        </w:tc>
        <w:tc>
          <w:tcPr>
            <w:tcW w:w="4263" w:type="pct"/>
            <w:tcBorders>
              <w:top w:val="single" w:color="auto" w:sz="4" w:space="0"/>
              <w:left w:val="single" w:color="auto" w:sz="4" w:space="0"/>
              <w:bottom w:val="single" w:color="auto" w:sz="4" w:space="0"/>
              <w:right w:val="single" w:color="auto" w:sz="4" w:space="0"/>
            </w:tcBorders>
            <w:vAlign w:val="bottom"/>
          </w:tcPr>
          <w:p w14:paraId="44DA1172">
            <w:pPr>
              <w:spacing w:line="360" w:lineRule="auto"/>
              <w:ind w:firstLine="420" w:firstLineChars="200"/>
              <w:rPr>
                <w:rFonts w:hint="eastAsia" w:ascii="宋体" w:hAnsi="宋体"/>
                <w:szCs w:val="21"/>
              </w:rPr>
            </w:pPr>
            <w:r>
              <w:rPr>
                <w:rFonts w:hint="eastAsia" w:ascii="宋体" w:hAnsi="宋体"/>
                <w:szCs w:val="21"/>
              </w:rPr>
              <w:t>支持在设置流量策略后，根据整体线路或者某流量通道内的空闲情况，自动启用和停止使用流量控制策略，以提升带宽的高使用率；空闲值可自定义。</w:t>
            </w:r>
          </w:p>
        </w:tc>
      </w:tr>
      <w:tr w14:paraId="21FCE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22D2FFAF">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13A7A8A1">
            <w:pPr>
              <w:spacing w:line="360" w:lineRule="auto"/>
              <w:ind w:firstLine="420" w:firstLineChars="200"/>
              <w:rPr>
                <w:rFonts w:hint="eastAsia" w:ascii="宋体" w:hAnsi="宋体"/>
                <w:szCs w:val="21"/>
              </w:rPr>
            </w:pPr>
            <w:r>
              <w:rPr>
                <w:rFonts w:hint="eastAsia" w:ascii="宋体" w:hAnsi="宋体"/>
                <w:szCs w:val="21"/>
              </w:rPr>
              <w:t>▲支持通过抑制P2P的下行丢包，来减缓P2P的下行流量，从而解决网络出口在做流控后仍然压力较大的问题（磋商响应时需提供产品功能截图）。</w:t>
            </w:r>
          </w:p>
        </w:tc>
      </w:tr>
      <w:tr w14:paraId="554A1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14:paraId="7EA8EC37">
            <w:pPr>
              <w:widowControl/>
              <w:jc w:val="left"/>
              <w:rPr>
                <w:rFonts w:hint="eastAsia" w:ascii="宋体" w:hAnsi="宋体"/>
                <w:szCs w:val="21"/>
              </w:rPr>
            </w:pPr>
          </w:p>
        </w:tc>
        <w:tc>
          <w:tcPr>
            <w:tcW w:w="4263" w:type="pct"/>
            <w:tcBorders>
              <w:top w:val="single" w:color="auto" w:sz="4" w:space="0"/>
              <w:left w:val="single" w:color="auto" w:sz="4" w:space="0"/>
              <w:bottom w:val="single" w:color="auto" w:sz="4" w:space="0"/>
              <w:right w:val="single" w:color="auto" w:sz="4" w:space="0"/>
            </w:tcBorders>
            <w:vAlign w:val="bottom"/>
          </w:tcPr>
          <w:p w14:paraId="317AF65D">
            <w:pPr>
              <w:spacing w:line="360" w:lineRule="auto"/>
              <w:ind w:firstLine="420" w:firstLineChars="200"/>
              <w:rPr>
                <w:rFonts w:hint="eastAsia" w:ascii="宋体" w:hAnsi="宋体"/>
                <w:szCs w:val="21"/>
              </w:rPr>
            </w:pPr>
            <w:r>
              <w:rPr>
                <w:rFonts w:hint="eastAsia" w:ascii="宋体" w:hAnsi="宋体"/>
                <w:szCs w:val="21"/>
              </w:rPr>
              <w:t>能够实时看到各级流控通道的状态：包括所属线路、瞬时速率、通道占用比例、用户数、保证带宽、最大带宽、优先级，启用状态等。</w:t>
            </w:r>
          </w:p>
        </w:tc>
      </w:tr>
    </w:tbl>
    <w:p w14:paraId="1621965B">
      <w:pPr>
        <w:spacing w:line="360" w:lineRule="auto"/>
        <w:ind w:firstLine="420" w:firstLineChars="200"/>
        <w:rPr>
          <w:rFonts w:hint="eastAsia" w:ascii="宋体" w:hAnsi="宋体"/>
          <w:szCs w:val="21"/>
        </w:rPr>
      </w:pPr>
    </w:p>
    <w:p w14:paraId="2191DC2E">
      <w:pPr>
        <w:spacing w:line="360" w:lineRule="auto"/>
        <w:ind w:firstLine="422" w:firstLineChars="200"/>
        <w:rPr>
          <w:rFonts w:hint="eastAsia" w:ascii="宋体" w:hAnsi="宋体"/>
          <w:b/>
          <w:bCs/>
          <w:szCs w:val="21"/>
        </w:rPr>
      </w:pPr>
      <w:r>
        <w:rPr>
          <w:rFonts w:hint="eastAsia" w:ascii="宋体" w:hAnsi="宋体"/>
          <w:b/>
          <w:bCs/>
          <w:szCs w:val="21"/>
        </w:rPr>
        <w:t>（2）零信任综合网关设备参数：</w:t>
      </w:r>
    </w:p>
    <w:tbl>
      <w:tblPr>
        <w:tblStyle w:val="57"/>
        <w:tblW w:w="0" w:type="auto"/>
        <w:tblInd w:w="1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Layout w:type="autofit"/>
        <w:tblCellMar>
          <w:top w:w="0" w:type="dxa"/>
          <w:left w:w="108" w:type="dxa"/>
          <w:bottom w:w="0" w:type="dxa"/>
          <w:right w:w="108" w:type="dxa"/>
        </w:tblCellMar>
      </w:tblPr>
      <w:tblGrid>
        <w:gridCol w:w="1297"/>
        <w:gridCol w:w="7118"/>
      </w:tblGrid>
      <w:tr w14:paraId="55645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B8903F">
            <w:pPr>
              <w:spacing w:line="360" w:lineRule="auto"/>
              <w:jc w:val="center"/>
              <w:rPr>
                <w:rFonts w:hint="eastAsia" w:ascii="宋体" w:hAnsi="宋体"/>
                <w:szCs w:val="21"/>
              </w:rPr>
            </w:pPr>
            <w:r>
              <w:rPr>
                <w:rFonts w:hint="eastAsia" w:ascii="宋体" w:hAnsi="宋体"/>
                <w:szCs w:val="21"/>
              </w:rPr>
              <w:t>指标项</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82C24B">
            <w:pPr>
              <w:spacing w:line="360" w:lineRule="auto"/>
              <w:ind w:firstLine="420" w:firstLineChars="200"/>
              <w:jc w:val="center"/>
              <w:rPr>
                <w:rFonts w:hint="eastAsia" w:ascii="宋体" w:hAnsi="宋体"/>
                <w:szCs w:val="21"/>
              </w:rPr>
            </w:pPr>
            <w:r>
              <w:rPr>
                <w:rFonts w:hint="eastAsia" w:ascii="宋体" w:hAnsi="宋体"/>
                <w:szCs w:val="21"/>
              </w:rPr>
              <w:t>详细参数</w:t>
            </w:r>
          </w:p>
        </w:tc>
      </w:tr>
      <w:tr w14:paraId="147DF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9EA10F">
            <w:pPr>
              <w:spacing w:line="360" w:lineRule="auto"/>
              <w:jc w:val="center"/>
              <w:rPr>
                <w:rFonts w:hint="eastAsia" w:ascii="宋体" w:hAnsi="宋体"/>
                <w:szCs w:val="21"/>
              </w:rPr>
            </w:pPr>
            <w:r>
              <w:rPr>
                <w:rFonts w:hint="eastAsia" w:ascii="宋体" w:hAnsi="宋体"/>
                <w:szCs w:val="21"/>
              </w:rPr>
              <w:t>基本要求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56630">
            <w:pPr>
              <w:spacing w:line="360" w:lineRule="auto"/>
              <w:ind w:firstLine="420" w:firstLineChars="200"/>
              <w:rPr>
                <w:rFonts w:hint="eastAsia" w:ascii="宋体" w:hAnsi="宋体"/>
                <w:szCs w:val="21"/>
              </w:rPr>
            </w:pPr>
            <w:r>
              <w:rPr>
                <w:rFonts w:hint="eastAsia" w:ascii="宋体" w:hAnsi="宋体"/>
                <w:szCs w:val="21"/>
              </w:rPr>
              <w:t>★采用国产化软硬件一体、标准机架式设备，配置≥单颗CPU，每颗CPU≥8核16线程国产化CPU，≥32G内存，≥2T硬盘，≥8个千兆电口，支持国产化操作系统。本次配置≥200的零信任并发授权（</w:t>
            </w:r>
            <w:r>
              <w:rPr>
                <w:rFonts w:hint="eastAsia" w:ascii="宋体" w:hAnsi="宋体" w:cs="Courier New"/>
                <w:kern w:val="0"/>
                <w:szCs w:val="21"/>
              </w:rPr>
              <w:t>同一时刻内，登录系统并进行业务操作的用户并发数量</w:t>
            </w:r>
            <w:r>
              <w:rPr>
                <w:rFonts w:hint="eastAsia" w:ascii="宋体" w:hAnsi="宋体"/>
                <w:szCs w:val="21"/>
              </w:rPr>
              <w:t>）。</w:t>
            </w:r>
          </w:p>
        </w:tc>
      </w:tr>
      <w:tr w14:paraId="180EA5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CA12C">
            <w:pPr>
              <w:spacing w:line="360" w:lineRule="auto"/>
              <w:jc w:val="center"/>
              <w:rPr>
                <w:rFonts w:hint="eastAsia" w:ascii="宋体" w:hAnsi="宋体"/>
                <w:szCs w:val="21"/>
              </w:rPr>
            </w:pPr>
            <w:r>
              <w:rPr>
                <w:rFonts w:hint="eastAsia" w:ascii="宋体" w:hAnsi="宋体"/>
                <w:szCs w:val="21"/>
              </w:rPr>
              <w:t>应用发布能力要求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FD8DF">
            <w:pPr>
              <w:spacing w:line="360" w:lineRule="auto"/>
              <w:ind w:firstLine="420" w:firstLineChars="200"/>
              <w:rPr>
                <w:rFonts w:hint="eastAsia" w:ascii="宋体" w:hAnsi="宋体"/>
                <w:szCs w:val="21"/>
              </w:rPr>
            </w:pPr>
            <w:r>
              <w:rPr>
                <w:rFonts w:hint="eastAsia" w:ascii="宋体" w:hAnsi="宋体"/>
                <w:szCs w:val="21"/>
              </w:rPr>
              <w:t>支持无端、有端及两者共存的三种应用访问方式。支持发布正向代理、反向代理、隧道应用、堡垒机式访问应用。可配置隧道应用打开软件；支持发布可以在移动端被拉起的APP。支持限制应用仅能在对应操作系统展示及访问。</w:t>
            </w:r>
          </w:p>
          <w:p w14:paraId="76CFAC37">
            <w:pPr>
              <w:spacing w:line="360" w:lineRule="auto"/>
              <w:ind w:firstLine="420" w:firstLineChars="200"/>
              <w:rPr>
                <w:rFonts w:hint="eastAsia" w:ascii="宋体" w:hAnsi="宋体"/>
                <w:szCs w:val="21"/>
              </w:rPr>
            </w:pPr>
            <w:r>
              <w:rPr>
                <w:rFonts w:hint="eastAsia" w:ascii="宋体" w:hAnsi="宋体"/>
                <w:szCs w:val="21"/>
              </w:rPr>
              <w:t>▲为满足广大用户便利的进行电子资源访问的需求，在不改变用户使用习惯的基础上进行业务代理，零信任平台支持与图书馆现有门户系统、统一身份认证等系统做深度融合，保证用户访问门户中发布的应用及其它内容时不受时间地点限制，内外网使用体验感完全一致（磋商响应时需提供产品功能截图）。</w:t>
            </w:r>
          </w:p>
        </w:tc>
      </w:tr>
      <w:tr w14:paraId="6DAE6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2F251">
            <w:pPr>
              <w:spacing w:line="360" w:lineRule="auto"/>
              <w:jc w:val="center"/>
              <w:rPr>
                <w:rFonts w:hint="eastAsia" w:ascii="宋体" w:hAnsi="宋体"/>
                <w:szCs w:val="21"/>
              </w:rPr>
            </w:pPr>
            <w:r>
              <w:rPr>
                <w:rFonts w:hint="eastAsia" w:ascii="宋体" w:hAnsi="宋体"/>
                <w:szCs w:val="21"/>
              </w:rPr>
              <w:t>身份认证</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46AED7">
            <w:pPr>
              <w:spacing w:line="360" w:lineRule="auto"/>
              <w:ind w:firstLine="420" w:firstLineChars="200"/>
              <w:rPr>
                <w:rFonts w:hint="eastAsia" w:ascii="宋体" w:hAnsi="宋体"/>
                <w:szCs w:val="21"/>
              </w:rPr>
            </w:pPr>
            <w:r>
              <w:rPr>
                <w:rFonts w:hint="eastAsia" w:ascii="宋体" w:hAnsi="宋体"/>
                <w:szCs w:val="21"/>
              </w:rPr>
              <w:t>提供用户接入的集中身份认证管理，如采用私有化部署需要支持内置账号、AD/LDAP、Radius、DB及手机APP扫码认证等。</w:t>
            </w:r>
            <w:r>
              <w:rPr>
                <w:rFonts w:hint="eastAsia" w:ascii="宋体" w:hAnsi="宋体"/>
                <w:szCs w:val="21"/>
              </w:rPr>
              <w:br w:type="textWrapping"/>
            </w:r>
            <w:r>
              <w:rPr>
                <w:rFonts w:hint="eastAsia" w:ascii="宋体" w:hAnsi="宋体"/>
                <w:szCs w:val="21"/>
              </w:rPr>
              <w:t>支持CAS、OAUTH单点协议，支持微信、企业微信、钉钉、飞书扫码登录方式及其他三方扫码登录，支持SIM卡认证、Ukey数字证书认证、TOTP认证、人脸认证方式；支持账号绑定功能，账号需绑定手机/邮箱/飞书，否则不允许账号登录。</w:t>
            </w:r>
            <w:r>
              <w:rPr>
                <w:rFonts w:hint="eastAsia" w:ascii="宋体" w:hAnsi="宋体"/>
                <w:szCs w:val="21"/>
              </w:rPr>
              <w:br w:type="textWrapping"/>
            </w:r>
            <w:r>
              <w:rPr>
                <w:rFonts w:hint="eastAsia" w:ascii="宋体" w:hAnsi="宋体"/>
                <w:szCs w:val="21"/>
              </w:rPr>
              <w:t>▲支持多种认证方式编排形成认证链：</w:t>
            </w:r>
            <w:r>
              <w:rPr>
                <w:rFonts w:hint="eastAsia" w:ascii="宋体" w:hAnsi="宋体"/>
                <w:szCs w:val="21"/>
              </w:rPr>
              <w:br w:type="textWrapping"/>
            </w:r>
            <w:r>
              <w:rPr>
                <w:rFonts w:hint="eastAsia" w:ascii="宋体" w:hAnsi="宋体"/>
                <w:szCs w:val="21"/>
              </w:rPr>
              <w:t>（1）支持根据认证配置调用对应的认证因子进行认证，可对两个以上认证因子进行认证编排（磋商响应时需提供产品功能截图）。</w:t>
            </w:r>
            <w:r>
              <w:rPr>
                <w:rFonts w:hint="eastAsia" w:ascii="宋体" w:hAnsi="宋体"/>
                <w:szCs w:val="21"/>
              </w:rPr>
              <w:br w:type="textWrapping"/>
            </w:r>
            <w:r>
              <w:rPr>
                <w:rFonts w:hint="eastAsia" w:ascii="宋体" w:hAnsi="宋体"/>
                <w:szCs w:val="21"/>
              </w:rPr>
              <w:t>（2）支持任意一种认证和按照优先级等级认证两种多因子认证方式（磋商响应时需提供产品功能截图）。</w:t>
            </w:r>
          </w:p>
        </w:tc>
      </w:tr>
      <w:tr w14:paraId="61F34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BDDAB">
            <w:pPr>
              <w:spacing w:line="360" w:lineRule="auto"/>
              <w:jc w:val="center"/>
              <w:rPr>
                <w:rFonts w:hint="eastAsia" w:ascii="宋体" w:hAnsi="宋体"/>
                <w:szCs w:val="21"/>
              </w:rPr>
            </w:pPr>
            <w:r>
              <w:rPr>
                <w:rFonts w:hint="eastAsia" w:ascii="宋体" w:hAnsi="宋体"/>
                <w:szCs w:val="21"/>
              </w:rPr>
              <w:t>客户端运行分析能力要求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D3D731">
            <w:pPr>
              <w:spacing w:line="360" w:lineRule="auto"/>
              <w:ind w:firstLine="420" w:firstLineChars="200"/>
              <w:rPr>
                <w:rFonts w:hint="eastAsia" w:ascii="宋体" w:hAnsi="宋体"/>
                <w:szCs w:val="21"/>
              </w:rPr>
            </w:pPr>
            <w:r>
              <w:rPr>
                <w:rFonts w:hint="eastAsia" w:ascii="宋体" w:hAnsi="宋体"/>
                <w:szCs w:val="21"/>
              </w:rPr>
              <w:t>支持对客户端运行状态进行智能分析，实现运行问题快速定位与解决，支持用户一键上传零信任客户端运行日志、故障日志等内容，无需用户手工收集。</w:t>
            </w:r>
            <w:r>
              <w:rPr>
                <w:rFonts w:hint="eastAsia" w:ascii="宋体" w:hAnsi="宋体"/>
                <w:szCs w:val="21"/>
              </w:rPr>
              <w:br w:type="textWrapping"/>
            </w:r>
            <w:r>
              <w:rPr>
                <w:rFonts w:hint="eastAsia" w:ascii="宋体" w:hAnsi="宋体"/>
                <w:szCs w:val="21"/>
              </w:rPr>
              <w:t>支持零信任客户端提供自助排障、智能诊断能力，诊断页面需包含终端基础检测、运行环境检测、网络连通性检测、网关网络检测等。</w:t>
            </w:r>
            <w:r>
              <w:rPr>
                <w:rFonts w:hint="eastAsia" w:ascii="宋体" w:hAnsi="宋体"/>
                <w:szCs w:val="21"/>
              </w:rPr>
              <w:br w:type="textWrapping"/>
            </w:r>
            <w:r>
              <w:rPr>
                <w:rFonts w:hint="eastAsia" w:ascii="宋体" w:hAnsi="宋体"/>
                <w:szCs w:val="21"/>
              </w:rPr>
              <w:t>支持一键远程控制，可由用户向管理员发起远程控制请求，以便管理员快速远程帮助用户处理问题等操作。</w:t>
            </w:r>
          </w:p>
        </w:tc>
      </w:tr>
      <w:tr w14:paraId="100A9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5EC80">
            <w:pPr>
              <w:spacing w:line="360" w:lineRule="auto"/>
              <w:jc w:val="center"/>
              <w:rPr>
                <w:rFonts w:hint="eastAsia" w:ascii="宋体" w:hAnsi="宋体"/>
                <w:szCs w:val="21"/>
              </w:rPr>
            </w:pPr>
            <w:r>
              <w:rPr>
                <w:rFonts w:hint="eastAsia" w:ascii="宋体" w:hAnsi="宋体"/>
                <w:szCs w:val="21"/>
              </w:rPr>
              <w:t>基于终端风险的资产管理能力要求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DED127">
            <w:pPr>
              <w:spacing w:line="360" w:lineRule="auto"/>
              <w:ind w:firstLine="420" w:firstLineChars="200"/>
              <w:rPr>
                <w:rFonts w:hint="eastAsia" w:ascii="宋体" w:hAnsi="宋体"/>
                <w:szCs w:val="21"/>
              </w:rPr>
            </w:pPr>
            <w:r>
              <w:rPr>
                <w:rFonts w:hint="eastAsia" w:ascii="宋体" w:hAnsi="宋体"/>
                <w:szCs w:val="21"/>
              </w:rPr>
              <w:t>▲新设备入网注册提供三种方式，包括二次认证、授权码认证、流程申请，其中二次认证方式可自定义方式包括短信认证、邮箱认证等，授权码方式支持公共码、一人一码、一次性码，支持短信和邮箱两种方式分发授权码，自定义流程申请需支持针对用户组或单个用户执行（磋商响应时需提供产品功能截图）。</w:t>
            </w:r>
            <w:r>
              <w:rPr>
                <w:rFonts w:hint="eastAsia" w:ascii="宋体" w:hAnsi="宋体"/>
                <w:szCs w:val="21"/>
              </w:rPr>
              <w:br w:type="textWrapping"/>
            </w:r>
            <w:r>
              <w:rPr>
                <w:rFonts w:hint="eastAsia" w:ascii="宋体" w:hAnsi="宋体"/>
                <w:szCs w:val="21"/>
              </w:rPr>
              <w:t>支持用户终端安全画像，包括设备详情展示(注册时间、注册方式、首次登录时间、闲置时间、设备名称、系统版本、硬件特征码、升级记录等信息)，终端安装的软件清单（安装时间、名称、版本号等信息）、服务列表（服务名称、服务类型、运行状态等）、安全事件（上报时间、检测分类、危险等级、安全基线等）及最近使用记录。</w:t>
            </w:r>
            <w:r>
              <w:rPr>
                <w:rFonts w:hint="eastAsia" w:ascii="宋体" w:hAnsi="宋体"/>
                <w:szCs w:val="21"/>
              </w:rPr>
              <w:br w:type="textWrapping"/>
            </w:r>
            <w:r>
              <w:rPr>
                <w:rFonts w:hint="eastAsia" w:ascii="宋体" w:hAnsi="宋体"/>
                <w:szCs w:val="21"/>
              </w:rPr>
              <w:t>支持对终端类型、系统版本、零信任客户端版本进行统计分析，以图形化的方式展示汇总情况，展示页面需包含设备名称、使用人、绑定用户、风险等级、登陆位置、最近登陆时间等信息。</w:t>
            </w:r>
            <w:r>
              <w:rPr>
                <w:rFonts w:hint="eastAsia" w:ascii="宋体" w:hAnsi="宋体"/>
                <w:szCs w:val="21"/>
              </w:rPr>
              <w:br w:type="textWrapping"/>
            </w:r>
            <w:r>
              <w:rPr>
                <w:rFonts w:hint="eastAsia" w:ascii="宋体" w:hAnsi="宋体"/>
                <w:szCs w:val="21"/>
              </w:rPr>
              <w:t>支持基于终端安全事件对终端赋予安全评分，并在界面上用户画像中进行展示，直观查看终端安全状态。</w:t>
            </w:r>
          </w:p>
        </w:tc>
      </w:tr>
      <w:tr w14:paraId="0B385A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2AB7D">
            <w:pPr>
              <w:spacing w:line="360" w:lineRule="auto"/>
              <w:jc w:val="center"/>
              <w:rPr>
                <w:rFonts w:hint="eastAsia" w:ascii="宋体" w:hAnsi="宋体"/>
                <w:szCs w:val="21"/>
              </w:rPr>
            </w:pPr>
            <w:r>
              <w:rPr>
                <w:rFonts w:hint="eastAsia" w:ascii="宋体" w:hAnsi="宋体"/>
                <w:szCs w:val="21"/>
              </w:rPr>
              <w:t>终端信任评估能力要求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99BF9">
            <w:pPr>
              <w:spacing w:line="360" w:lineRule="auto"/>
              <w:ind w:firstLine="420" w:firstLineChars="200"/>
              <w:rPr>
                <w:rFonts w:hint="eastAsia" w:ascii="宋体" w:hAnsi="宋体"/>
                <w:szCs w:val="21"/>
              </w:rPr>
            </w:pPr>
            <w:r>
              <w:rPr>
                <w:rFonts w:hint="eastAsia" w:ascii="宋体" w:hAnsi="宋体"/>
                <w:szCs w:val="21"/>
              </w:rPr>
              <w:t>支持针对Windows、macOS、Linux（统信、麒麟）操作系统进行终端信任评估，给出终端高、中、低、安全终端风险等级评估结果，并在客户端展示风险等级，高、中、低危个数和具体详情。</w:t>
            </w:r>
            <w:r>
              <w:rPr>
                <w:rFonts w:hint="eastAsia" w:ascii="宋体" w:hAnsi="宋体"/>
                <w:szCs w:val="21"/>
              </w:rPr>
              <w:br w:type="textWrapping"/>
            </w:r>
            <w:r>
              <w:rPr>
                <w:rFonts w:hint="eastAsia" w:ascii="宋体" w:hAnsi="宋体"/>
                <w:szCs w:val="21"/>
              </w:rPr>
              <w:t>▲支持基于是否安装了指定的杀毒软件、是否安装了禁止的软件、是否运行了黑名单服务或者未运行必要的服务、是否开启了高危端口、是否启用了黑名单进程、是否安装了指定的windows漏洞补丁、是否存在弱密码、是否开启了防火墙、是否存在共享文件来给终端进行信任评估（磋商响应时需提供产品功能截图）。</w:t>
            </w:r>
          </w:p>
          <w:p w14:paraId="180176D4">
            <w:pPr>
              <w:spacing w:line="360" w:lineRule="auto"/>
              <w:ind w:firstLine="420" w:firstLineChars="200"/>
              <w:rPr>
                <w:rFonts w:hint="eastAsia" w:ascii="宋体" w:hAnsi="宋体"/>
                <w:szCs w:val="21"/>
              </w:rPr>
            </w:pPr>
            <w:r>
              <w:rPr>
                <w:rFonts w:hint="eastAsia" w:ascii="宋体" w:hAnsi="宋体"/>
                <w:szCs w:val="21"/>
              </w:rPr>
              <w:t>支持在策略配置中基于终端风险等级做策略管控，支持依据是否存在高危端口、违规进程、高危服务、违规软件、未装杀软、未开防火墙做策略管控。</w:t>
            </w:r>
          </w:p>
        </w:tc>
      </w:tr>
      <w:tr w14:paraId="5EB61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20B5F">
            <w:pPr>
              <w:spacing w:line="360" w:lineRule="auto"/>
              <w:jc w:val="center"/>
              <w:rPr>
                <w:rFonts w:hint="eastAsia" w:ascii="宋体" w:hAnsi="宋体"/>
                <w:szCs w:val="21"/>
              </w:rPr>
            </w:pPr>
            <w:r>
              <w:rPr>
                <w:rFonts w:hint="eastAsia" w:ascii="宋体" w:hAnsi="宋体"/>
                <w:szCs w:val="21"/>
              </w:rPr>
              <w:t>软件资产管理能力要求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AECA9">
            <w:pPr>
              <w:spacing w:line="360" w:lineRule="auto"/>
              <w:ind w:firstLine="420" w:firstLineChars="200"/>
              <w:rPr>
                <w:rFonts w:hint="eastAsia" w:ascii="宋体" w:hAnsi="宋体"/>
                <w:szCs w:val="21"/>
              </w:rPr>
            </w:pPr>
            <w:r>
              <w:rPr>
                <w:rFonts w:hint="eastAsia" w:ascii="宋体" w:hAnsi="宋体"/>
                <w:szCs w:val="21"/>
              </w:rPr>
              <w:t>支持对Windows、macOS、统信、麒麟桌面端软件资产进行收集和展示，支持依据操作系统做资产过滤，支持预置操作系统，包括Windows 、macOS 、统信 、麒麟，同时支持新增操作系统。</w:t>
            </w:r>
            <w:r>
              <w:rPr>
                <w:rFonts w:hint="eastAsia" w:ascii="宋体" w:hAnsi="宋体"/>
                <w:szCs w:val="21"/>
              </w:rPr>
              <w:br w:type="textWrapping"/>
            </w:r>
            <w:r>
              <w:rPr>
                <w:rFonts w:hint="eastAsia" w:ascii="宋体" w:hAnsi="宋体"/>
                <w:szCs w:val="21"/>
              </w:rPr>
              <w:t>支持依据收集到的系统名称和可配置的操作系统归类映射规则自动归类软件资产所属操作系统，支持对软件进行分类，支持预置软件分类。</w:t>
            </w:r>
            <w:r>
              <w:rPr>
                <w:rFonts w:hint="eastAsia" w:ascii="宋体" w:hAnsi="宋体"/>
                <w:szCs w:val="21"/>
              </w:rPr>
              <w:br w:type="textWrapping"/>
            </w:r>
            <w:r>
              <w:rPr>
                <w:rFonts w:hint="eastAsia" w:ascii="宋体" w:hAnsi="宋体"/>
                <w:szCs w:val="21"/>
              </w:rPr>
              <w:t>支持展示和导出特定终端上安装的软件资产信息，支持展示和导出特定软件资产终端安装信息。</w:t>
            </w:r>
          </w:p>
        </w:tc>
      </w:tr>
      <w:tr w14:paraId="69258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6727FC">
            <w:pPr>
              <w:spacing w:line="360" w:lineRule="auto"/>
              <w:jc w:val="center"/>
              <w:rPr>
                <w:rFonts w:hint="eastAsia" w:ascii="宋体" w:hAnsi="宋体"/>
                <w:szCs w:val="21"/>
              </w:rPr>
            </w:pPr>
            <w:r>
              <w:rPr>
                <w:rFonts w:hint="eastAsia" w:ascii="宋体" w:hAnsi="宋体"/>
                <w:szCs w:val="21"/>
              </w:rPr>
              <w:t>应用商店能力要求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75B821">
            <w:pPr>
              <w:spacing w:line="360" w:lineRule="auto"/>
              <w:ind w:firstLine="420" w:firstLineChars="200"/>
              <w:rPr>
                <w:rFonts w:hint="eastAsia" w:ascii="宋体" w:hAnsi="宋体"/>
                <w:szCs w:val="21"/>
              </w:rPr>
            </w:pPr>
            <w:r>
              <w:rPr>
                <w:rFonts w:hint="eastAsia" w:ascii="宋体" w:hAnsi="宋体"/>
                <w:szCs w:val="21"/>
              </w:rPr>
              <w:t>支持应用软件的动态发布、下架、授权，支持发布应用软件设置软件运行环境、运行架构、MD5校验；支持对推送的软件进行自定义设置，包括自定义操作权限（下载并安装、仅下载、更新、卸载），执行权限（默认权限、管理员权限、系统权限），支持设定应用发布的有效期。</w:t>
            </w:r>
          </w:p>
        </w:tc>
      </w:tr>
      <w:tr w14:paraId="1DA62D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D3754">
            <w:pPr>
              <w:spacing w:line="360" w:lineRule="auto"/>
              <w:jc w:val="center"/>
              <w:rPr>
                <w:rFonts w:hint="eastAsia" w:ascii="宋体" w:hAnsi="宋体"/>
                <w:szCs w:val="21"/>
              </w:rPr>
            </w:pPr>
            <w:r>
              <w:rPr>
                <w:rFonts w:hint="eastAsia" w:ascii="宋体" w:hAnsi="宋体"/>
                <w:szCs w:val="21"/>
              </w:rPr>
              <w:t>网络隐身</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F08188">
            <w:pPr>
              <w:spacing w:line="360" w:lineRule="auto"/>
              <w:ind w:firstLine="420" w:firstLineChars="200"/>
              <w:rPr>
                <w:rFonts w:hint="eastAsia" w:ascii="宋体" w:hAnsi="宋体"/>
                <w:szCs w:val="21"/>
              </w:rPr>
            </w:pPr>
            <w:r>
              <w:rPr>
                <w:rFonts w:hint="eastAsia" w:ascii="宋体" w:hAnsi="宋体"/>
                <w:szCs w:val="21"/>
              </w:rPr>
              <w:t>支持SPA，实现网关隐藏，确保每个单独的流量都得到授权，将服务器隐身，抵御外界扫描、嗅探等攻击；支持基于Code码的动态SPA敲门机制以及硬件特征码的静态SPA敲门机制，确保SPA报文的安全性。</w:t>
            </w:r>
          </w:p>
        </w:tc>
      </w:tr>
      <w:tr w14:paraId="4CCF8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A75F6">
            <w:pPr>
              <w:spacing w:line="360" w:lineRule="auto"/>
              <w:jc w:val="center"/>
              <w:rPr>
                <w:rFonts w:hint="eastAsia" w:ascii="宋体" w:hAnsi="宋体"/>
                <w:szCs w:val="21"/>
              </w:rPr>
            </w:pPr>
            <w:r>
              <w:rPr>
                <w:rFonts w:hint="eastAsia" w:ascii="宋体" w:hAnsi="宋体"/>
                <w:szCs w:val="21"/>
              </w:rPr>
              <w:t>零信任风险管控能力要求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FC2865">
            <w:pPr>
              <w:spacing w:line="360" w:lineRule="auto"/>
              <w:ind w:firstLine="420" w:firstLineChars="200"/>
              <w:rPr>
                <w:rFonts w:hint="eastAsia" w:ascii="宋体" w:hAnsi="宋体"/>
                <w:szCs w:val="21"/>
              </w:rPr>
            </w:pPr>
            <w:r>
              <w:rPr>
                <w:rFonts w:hint="eastAsia" w:ascii="宋体" w:hAnsi="宋体"/>
                <w:szCs w:val="21"/>
              </w:rPr>
              <w:t>支持通过构建终端风险评估模型对终端进行多维立体的防护，包括应用合规检测、软件黑白名单、系统服务黑白名单、高危端口等进行管控；</w:t>
            </w:r>
            <w:r>
              <w:rPr>
                <w:rFonts w:hint="eastAsia" w:ascii="宋体" w:hAnsi="宋体"/>
                <w:szCs w:val="21"/>
              </w:rPr>
              <w:br w:type="textWrapping"/>
            </w:r>
            <w:r>
              <w:rPr>
                <w:rFonts w:hint="eastAsia" w:ascii="宋体" w:hAnsi="宋体"/>
                <w:szCs w:val="21"/>
              </w:rPr>
              <w:t>支持动态访问策略，并预置策略包括但不限于系统账号异常检测、弱口令检测、账号多地登陆检测、使用黑客工具检测、暴力破解及慢速撞库检测等能力。</w:t>
            </w:r>
          </w:p>
          <w:p w14:paraId="42A69637">
            <w:pPr>
              <w:spacing w:line="360" w:lineRule="auto"/>
              <w:ind w:firstLine="420" w:firstLineChars="200"/>
              <w:rPr>
                <w:rFonts w:hint="eastAsia" w:ascii="宋体" w:hAnsi="宋体"/>
                <w:szCs w:val="21"/>
              </w:rPr>
            </w:pPr>
            <w:r>
              <w:rPr>
                <w:rFonts w:hint="eastAsia" w:ascii="宋体" w:hAnsi="宋体"/>
                <w:szCs w:val="21"/>
              </w:rPr>
              <w:t>▲支持基于场景的安全策略编排，并以场景化进行保存，快速调用，如用户登录场景（内外网登录策略、威胁IP二次认证策略、账号撞库策略）、web应用访问场景、隧道应用访问场景（已知应用统计、未知应用标记、访问僵尸应用初始策略、数据采样）等；支持基于多场景安全策略评估结果联动控制，如在web应用访问场景中触发的安全策略评估结果，可以自动提供给用户登录场景进行调用（磋商响应时需提供产品功能截图）。</w:t>
            </w:r>
          </w:p>
          <w:p w14:paraId="0BDD88A3">
            <w:pPr>
              <w:spacing w:line="360" w:lineRule="auto"/>
              <w:ind w:firstLine="420" w:firstLineChars="200"/>
              <w:rPr>
                <w:rFonts w:hint="eastAsia" w:ascii="宋体" w:hAnsi="宋体"/>
                <w:szCs w:val="21"/>
              </w:rPr>
            </w:pPr>
            <w:r>
              <w:rPr>
                <w:rFonts w:hint="eastAsia" w:ascii="宋体" w:hAnsi="宋体"/>
                <w:szCs w:val="21"/>
              </w:rPr>
              <w:t>支持自定义扩展任意未预置的属性，支持基于主体、客体的属性自由定义安全规则，无需定制开发即可实现更丰富的安全策略。</w:t>
            </w:r>
            <w:r>
              <w:rPr>
                <w:rFonts w:hint="eastAsia" w:ascii="宋体" w:hAnsi="宋体"/>
                <w:szCs w:val="21"/>
              </w:rPr>
              <w:br w:type="textWrapping"/>
            </w:r>
            <w:r>
              <w:rPr>
                <w:rFonts w:hint="eastAsia" w:ascii="宋体" w:hAnsi="宋体"/>
                <w:szCs w:val="21"/>
              </w:rPr>
              <w:t>可以配置当用户不同意零信任系统收集个人隐私数据时禁止登录或者只能访问受限的一些应用。</w:t>
            </w:r>
            <w:r>
              <w:rPr>
                <w:rFonts w:hint="eastAsia" w:ascii="宋体" w:hAnsi="宋体"/>
                <w:szCs w:val="21"/>
              </w:rPr>
              <w:br w:type="textWrapping"/>
            </w:r>
            <w:r>
              <w:rPr>
                <w:rFonts w:hint="eastAsia" w:ascii="宋体" w:hAnsi="宋体"/>
                <w:szCs w:val="21"/>
              </w:rPr>
              <w:t>在RBAC基础上，支持通过更细粒度的权限控制，禁止用户通过个人设备访问业务系统。</w:t>
            </w:r>
          </w:p>
        </w:tc>
      </w:tr>
      <w:tr w14:paraId="3C2F0C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06C00">
            <w:pPr>
              <w:spacing w:line="360" w:lineRule="auto"/>
              <w:jc w:val="center"/>
              <w:rPr>
                <w:rFonts w:hint="eastAsia" w:ascii="宋体" w:hAnsi="宋体"/>
                <w:szCs w:val="21"/>
              </w:rPr>
            </w:pPr>
            <w:r>
              <w:rPr>
                <w:rFonts w:hint="eastAsia" w:ascii="宋体" w:hAnsi="宋体"/>
                <w:szCs w:val="21"/>
              </w:rPr>
              <w:t>终端管控</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C1504">
            <w:pPr>
              <w:spacing w:line="360" w:lineRule="auto"/>
              <w:ind w:firstLine="420" w:firstLineChars="200"/>
              <w:rPr>
                <w:rFonts w:hint="eastAsia" w:ascii="宋体" w:hAnsi="宋体"/>
                <w:szCs w:val="21"/>
              </w:rPr>
            </w:pPr>
            <w:r>
              <w:rPr>
                <w:rFonts w:hint="eastAsia" w:ascii="宋体" w:hAnsi="宋体"/>
                <w:szCs w:val="21"/>
              </w:rPr>
              <w:t>支持外设管控，水印管控、网络管控，包括USB存储设备和打印机管控、终端水印自定义配置、网络违规外联和WIFI连接管控。</w:t>
            </w:r>
          </w:p>
        </w:tc>
      </w:tr>
      <w:tr w14:paraId="24926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3E0E2">
            <w:pPr>
              <w:spacing w:line="360" w:lineRule="auto"/>
              <w:jc w:val="center"/>
              <w:rPr>
                <w:rFonts w:hint="eastAsia" w:ascii="宋体" w:hAnsi="宋体"/>
                <w:szCs w:val="21"/>
              </w:rPr>
            </w:pPr>
            <w:r>
              <w:rPr>
                <w:rFonts w:hint="eastAsia" w:ascii="宋体" w:hAnsi="宋体"/>
                <w:szCs w:val="21"/>
              </w:rPr>
              <w:t>智能运维能力要求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072E91">
            <w:pPr>
              <w:spacing w:line="360" w:lineRule="auto"/>
              <w:ind w:firstLine="420" w:firstLineChars="200"/>
              <w:rPr>
                <w:rFonts w:hint="eastAsia" w:ascii="宋体" w:hAnsi="宋体"/>
                <w:szCs w:val="21"/>
              </w:rPr>
            </w:pPr>
            <w:r>
              <w:rPr>
                <w:rFonts w:hint="eastAsia" w:ascii="宋体" w:hAnsi="宋体"/>
                <w:szCs w:val="21"/>
              </w:rPr>
              <w:t>支持对零信任服务、三方接口进行多维度的健康度监控：支持设置定时巡检任务，基于HTTP(S)、TCP、PING等协议监控，以及GET、POST请求方式进行健康度监控，并可以设置监控频率；支持用断言定义的方式，设置不同探测点上拨测响应结果的判断条件。</w:t>
            </w:r>
          </w:p>
        </w:tc>
      </w:tr>
      <w:tr w14:paraId="20B19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F61106">
            <w:pPr>
              <w:spacing w:line="360" w:lineRule="auto"/>
              <w:jc w:val="center"/>
              <w:rPr>
                <w:rFonts w:hint="eastAsia" w:ascii="宋体" w:hAnsi="宋体"/>
                <w:szCs w:val="21"/>
              </w:rPr>
            </w:pPr>
            <w:r>
              <w:rPr>
                <w:rFonts w:hint="eastAsia" w:ascii="宋体" w:hAnsi="宋体"/>
                <w:szCs w:val="21"/>
              </w:rPr>
              <w:t>运营监控</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F7E24D">
            <w:pPr>
              <w:spacing w:line="360" w:lineRule="auto"/>
              <w:ind w:firstLine="420" w:firstLineChars="200"/>
              <w:rPr>
                <w:rFonts w:hint="eastAsia" w:ascii="宋体" w:hAnsi="宋体"/>
                <w:szCs w:val="21"/>
              </w:rPr>
            </w:pPr>
            <w:r>
              <w:rPr>
                <w:rFonts w:hint="eastAsia" w:ascii="宋体" w:hAnsi="宋体"/>
                <w:szCs w:val="21"/>
              </w:rPr>
              <w:t>支持对认证和隧道会话进行监控：支持展示认证方式排行、认证接口响应时间趋势支持展示网关会话同步接口响应时间趋势。</w:t>
            </w:r>
          </w:p>
        </w:tc>
      </w:tr>
      <w:tr w14:paraId="726185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E0306F">
            <w:pPr>
              <w:spacing w:line="360" w:lineRule="auto"/>
              <w:jc w:val="center"/>
              <w:rPr>
                <w:rFonts w:hint="eastAsia" w:ascii="宋体" w:hAnsi="宋体"/>
                <w:szCs w:val="21"/>
              </w:rPr>
            </w:pPr>
            <w:r>
              <w:rPr>
                <w:rFonts w:hint="eastAsia" w:ascii="宋体" w:hAnsi="宋体"/>
                <w:szCs w:val="21"/>
              </w:rPr>
              <w:t>故障和告警对接能力要求</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AEF7B4">
            <w:pPr>
              <w:spacing w:line="360" w:lineRule="auto"/>
              <w:ind w:firstLine="420" w:firstLineChars="200"/>
              <w:rPr>
                <w:rFonts w:hint="eastAsia" w:ascii="宋体" w:hAnsi="宋体"/>
                <w:szCs w:val="21"/>
              </w:rPr>
            </w:pPr>
            <w:r>
              <w:rPr>
                <w:rFonts w:hint="eastAsia" w:ascii="宋体" w:hAnsi="宋体"/>
                <w:szCs w:val="21"/>
              </w:rPr>
              <w:t>▲支持SNMP告警、性能数据的Snmp get操作.支持获取的信息包括CPU使用率、磁盘使用率、内存使用率、网口速率、集群故障、服务故障，可以提供mib文件，支持V1、V2C和V3（磋商响应时需提供产品功能截图）。</w:t>
            </w:r>
          </w:p>
        </w:tc>
      </w:tr>
      <w:tr w14:paraId="6E1219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8AF04">
            <w:pPr>
              <w:spacing w:line="360" w:lineRule="auto"/>
              <w:jc w:val="center"/>
              <w:rPr>
                <w:rFonts w:hint="eastAsia" w:ascii="宋体" w:hAnsi="宋体"/>
                <w:szCs w:val="21"/>
              </w:rPr>
            </w:pPr>
            <w:r>
              <w:rPr>
                <w:rFonts w:hint="eastAsia" w:ascii="宋体" w:hAnsi="宋体"/>
                <w:szCs w:val="21"/>
              </w:rPr>
              <w:t>可视化</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EE7B8">
            <w:pPr>
              <w:spacing w:line="360" w:lineRule="auto"/>
              <w:ind w:firstLine="420" w:firstLineChars="200"/>
              <w:rPr>
                <w:rFonts w:hint="eastAsia" w:ascii="宋体" w:hAnsi="宋体"/>
                <w:szCs w:val="21"/>
              </w:rPr>
            </w:pPr>
            <w:r>
              <w:rPr>
                <w:rFonts w:hint="eastAsia" w:ascii="宋体" w:hAnsi="宋体"/>
                <w:szCs w:val="21"/>
              </w:rPr>
              <w:t>支持针对用户信息的展示，包括：总用户数、在线用户数、风险账号数、实时在线用户数统计、用户关联的安全策略、策略命中次数以及最近命中时间。</w:t>
            </w:r>
          </w:p>
          <w:p w14:paraId="322C71AF">
            <w:pPr>
              <w:spacing w:line="360" w:lineRule="auto"/>
              <w:ind w:firstLine="420" w:firstLineChars="200"/>
              <w:rPr>
                <w:rFonts w:hint="eastAsia" w:ascii="宋体" w:hAnsi="宋体"/>
                <w:szCs w:val="21"/>
              </w:rPr>
            </w:pPr>
            <w:r>
              <w:rPr>
                <w:rFonts w:hint="eastAsia" w:ascii="宋体" w:hAnsi="宋体"/>
                <w:szCs w:val="21"/>
              </w:rPr>
              <w:t>支持监控大屏展示，从用户、应用、设备、策略、异常告警行为日志中分析出不同维度的数据以数字、折线图、饼状图、柱状图、排名列表等进行展示，用户支持自定义选择展示模块，以便运维人员可以更直观的了解现系统的认证/访问行为全貌；支持自定义选择下载模块，用户点击下载后，进行预览自排版导出界面，支持HTML、PDF格式。</w:t>
            </w:r>
          </w:p>
        </w:tc>
      </w:tr>
      <w:tr w14:paraId="25D19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69E014">
            <w:pPr>
              <w:spacing w:line="360" w:lineRule="auto"/>
              <w:jc w:val="center"/>
              <w:rPr>
                <w:rFonts w:hint="eastAsia" w:ascii="宋体" w:hAnsi="宋体"/>
                <w:szCs w:val="21"/>
              </w:rPr>
            </w:pPr>
            <w:r>
              <w:rPr>
                <w:rFonts w:hint="eastAsia" w:ascii="宋体" w:hAnsi="宋体"/>
                <w:szCs w:val="21"/>
              </w:rPr>
              <w:t>标签管理</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6344F">
            <w:pPr>
              <w:spacing w:line="360" w:lineRule="auto"/>
              <w:ind w:firstLine="420" w:firstLineChars="200"/>
              <w:rPr>
                <w:rFonts w:hint="eastAsia" w:ascii="宋体" w:hAnsi="宋体"/>
                <w:szCs w:val="21"/>
              </w:rPr>
            </w:pPr>
            <w:r>
              <w:rPr>
                <w:rFonts w:hint="eastAsia" w:ascii="宋体" w:hAnsi="宋体"/>
                <w:szCs w:val="21"/>
              </w:rPr>
              <w:t>▲支持基于系统学习自动给用户、设备、应用打标签，并针对用户、设备和应用的标签体系化管理，依据标签属性实现灵活的策略配置。可自定义生成更多标签，并设定不同标签颜色（磋商响应时需提供产品功能截图）。</w:t>
            </w:r>
          </w:p>
        </w:tc>
      </w:tr>
      <w:tr w14:paraId="46CCF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2AD911">
            <w:pPr>
              <w:spacing w:line="360" w:lineRule="auto"/>
              <w:jc w:val="center"/>
              <w:rPr>
                <w:rFonts w:hint="eastAsia" w:ascii="宋体" w:hAnsi="宋体"/>
                <w:szCs w:val="21"/>
              </w:rPr>
            </w:pPr>
            <w:r>
              <w:rPr>
                <w:rFonts w:hint="eastAsia" w:ascii="宋体" w:hAnsi="宋体"/>
                <w:szCs w:val="21"/>
              </w:rPr>
              <w:t>智能选路</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66427">
            <w:pPr>
              <w:spacing w:line="360" w:lineRule="auto"/>
              <w:ind w:firstLine="420" w:firstLineChars="200"/>
              <w:rPr>
                <w:rFonts w:hint="eastAsia" w:ascii="宋体" w:hAnsi="宋体"/>
                <w:szCs w:val="21"/>
              </w:rPr>
            </w:pPr>
            <w:r>
              <w:rPr>
                <w:rFonts w:hint="eastAsia" w:ascii="宋体" w:hAnsi="宋体"/>
                <w:szCs w:val="21"/>
              </w:rPr>
              <w:t>▲支持依据用户、设备、网络属性的智能选路功能，可以依据用户标签、账号行为、绑定设备数、设备操作系统类型、设备标签、终端安全风险、接入位置、接入IP、归属的运营商、访问时间来确定登录后的门户页和访问业务系统使用的网关（磋商响应时需提供产品功能截图）。</w:t>
            </w:r>
          </w:p>
        </w:tc>
      </w:tr>
      <w:tr w14:paraId="3166F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97ECFD">
            <w:pPr>
              <w:spacing w:line="360" w:lineRule="auto"/>
              <w:jc w:val="center"/>
              <w:rPr>
                <w:rFonts w:hint="eastAsia" w:ascii="宋体" w:hAnsi="宋体"/>
                <w:szCs w:val="21"/>
              </w:rPr>
            </w:pPr>
            <w:r>
              <w:rPr>
                <w:rFonts w:hint="eastAsia" w:ascii="宋体" w:hAnsi="宋体"/>
                <w:szCs w:val="21"/>
              </w:rPr>
              <w:t>动态能力扩展</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6B81FF">
            <w:pPr>
              <w:spacing w:line="360" w:lineRule="auto"/>
              <w:ind w:firstLine="420" w:firstLineChars="200"/>
              <w:rPr>
                <w:rFonts w:hint="eastAsia" w:ascii="宋体" w:hAnsi="宋体"/>
                <w:szCs w:val="21"/>
              </w:rPr>
            </w:pPr>
            <w:r>
              <w:rPr>
                <w:rFonts w:hint="eastAsia" w:ascii="宋体" w:hAnsi="宋体"/>
                <w:szCs w:val="21"/>
              </w:rPr>
              <w:t>▲支持安全能力的动态扩展，在不编码的情况下及时满足客户对安全能力的需求,具体要达到以下效果：提供一体化安全终端，可以依据策略动态给一体化终端安装安全沙箱等组件和软件，管理端支持组件动态加载能力，实现诸如三方身份源对接组件的动态加载，能依据用户、终端、时空、报文属性动态配置出新安全策略（磋商响应时需提供产品功能截图）。</w:t>
            </w:r>
          </w:p>
        </w:tc>
      </w:tr>
      <w:tr w14:paraId="39571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0D0358">
            <w:pPr>
              <w:spacing w:line="360" w:lineRule="auto"/>
              <w:jc w:val="center"/>
              <w:rPr>
                <w:rFonts w:hint="eastAsia" w:ascii="宋体" w:hAnsi="宋体"/>
                <w:szCs w:val="21"/>
              </w:rPr>
            </w:pPr>
            <w:r>
              <w:rPr>
                <w:rFonts w:hint="eastAsia" w:ascii="宋体" w:hAnsi="宋体"/>
                <w:szCs w:val="21"/>
              </w:rPr>
              <w:t>license细粒度授权</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6206F">
            <w:pPr>
              <w:spacing w:line="360" w:lineRule="auto"/>
              <w:ind w:firstLine="420" w:firstLineChars="200"/>
              <w:rPr>
                <w:rFonts w:hint="eastAsia" w:ascii="宋体" w:hAnsi="宋体"/>
                <w:szCs w:val="21"/>
              </w:rPr>
            </w:pPr>
            <w:r>
              <w:rPr>
                <w:rFonts w:hint="eastAsia" w:ascii="宋体" w:hAnsi="宋体"/>
                <w:szCs w:val="21"/>
              </w:rPr>
              <w:t>支持为不同组织/部门分配不同数量的终端接入数授权。</w:t>
            </w:r>
          </w:p>
        </w:tc>
      </w:tr>
      <w:tr w14:paraId="65042B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E10F2">
            <w:pPr>
              <w:spacing w:line="360" w:lineRule="auto"/>
              <w:jc w:val="center"/>
              <w:rPr>
                <w:rFonts w:hint="eastAsia" w:ascii="宋体" w:hAnsi="宋体"/>
                <w:szCs w:val="21"/>
              </w:rPr>
            </w:pPr>
            <w:r>
              <w:rPr>
                <w:rFonts w:hint="eastAsia" w:ascii="宋体" w:hAnsi="宋体"/>
                <w:szCs w:val="21"/>
              </w:rPr>
              <w:t>审计溯源</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D06A1">
            <w:pPr>
              <w:spacing w:line="360" w:lineRule="auto"/>
              <w:ind w:firstLine="420" w:firstLineChars="200"/>
              <w:rPr>
                <w:rFonts w:hint="eastAsia" w:ascii="宋体" w:hAnsi="宋体"/>
                <w:szCs w:val="21"/>
              </w:rPr>
            </w:pPr>
            <w:r>
              <w:rPr>
                <w:rFonts w:hint="eastAsia" w:ascii="宋体" w:hAnsi="宋体"/>
                <w:szCs w:val="21"/>
              </w:rPr>
              <w:t>系统支持日志建模，通过1条日志模型实现多条日志关联溯源查看；支持日志按分类查询，包括：管理员日志、客户端操作日志、策略命中日志、隧道访问日志、web访问日志。</w:t>
            </w:r>
          </w:p>
        </w:tc>
      </w:tr>
      <w:tr w14:paraId="10FA91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30A1B">
            <w:pPr>
              <w:spacing w:line="360" w:lineRule="auto"/>
              <w:jc w:val="center"/>
              <w:rPr>
                <w:rFonts w:hint="eastAsia" w:ascii="宋体" w:hAnsi="宋体"/>
                <w:szCs w:val="21"/>
              </w:rPr>
            </w:pPr>
            <w:r>
              <w:rPr>
                <w:rFonts w:hint="eastAsia" w:ascii="宋体" w:hAnsi="宋体"/>
                <w:szCs w:val="21"/>
              </w:rPr>
              <w:t>客户化</w:t>
            </w:r>
          </w:p>
          <w:p w14:paraId="3177ABB0">
            <w:pPr>
              <w:spacing w:line="360" w:lineRule="auto"/>
              <w:jc w:val="center"/>
              <w:rPr>
                <w:rFonts w:hint="eastAsia" w:ascii="宋体" w:hAnsi="宋体"/>
                <w:szCs w:val="21"/>
              </w:rPr>
            </w:pPr>
            <w:r>
              <w:rPr>
                <w:rFonts w:hint="eastAsia" w:ascii="宋体" w:hAnsi="宋体"/>
                <w:szCs w:val="21"/>
              </w:rPr>
              <w:t>定制</w:t>
            </w:r>
          </w:p>
        </w:tc>
        <w:tc>
          <w:tcPr>
            <w:tcW w:w="76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25EC5">
            <w:pPr>
              <w:spacing w:line="360" w:lineRule="auto"/>
              <w:ind w:firstLine="420" w:firstLineChars="200"/>
              <w:rPr>
                <w:rFonts w:hint="eastAsia" w:ascii="宋体" w:hAnsi="宋体"/>
                <w:szCs w:val="21"/>
              </w:rPr>
            </w:pPr>
            <w:r>
              <w:rPr>
                <w:rFonts w:hint="eastAsia" w:ascii="宋体" w:hAnsi="宋体"/>
                <w:szCs w:val="21"/>
              </w:rPr>
              <w:t>包括管理平台、客户端、下载中心、SDK，管理平台支持客户端的客户化定制，包括：安装包名称、服务器配置、产品名称、LOGO、托盘图标、桌面快捷方式等。</w:t>
            </w:r>
          </w:p>
        </w:tc>
      </w:tr>
    </w:tbl>
    <w:p w14:paraId="77B1435F">
      <w:pPr>
        <w:spacing w:line="360" w:lineRule="auto"/>
        <w:ind w:firstLine="420" w:firstLineChars="200"/>
        <w:rPr>
          <w:rFonts w:hint="eastAsia" w:ascii="宋体" w:hAnsi="宋体"/>
          <w:szCs w:val="21"/>
        </w:rPr>
      </w:pPr>
    </w:p>
    <w:p w14:paraId="66727FB5">
      <w:pPr>
        <w:spacing w:line="360" w:lineRule="auto"/>
        <w:ind w:firstLine="422" w:firstLineChars="200"/>
        <w:rPr>
          <w:rFonts w:hint="eastAsia" w:ascii="宋体" w:hAnsi="宋体"/>
          <w:b/>
          <w:bCs/>
          <w:szCs w:val="21"/>
        </w:rPr>
      </w:pPr>
      <w:r>
        <w:rPr>
          <w:rFonts w:hint="eastAsia" w:ascii="宋体" w:hAnsi="宋体"/>
          <w:b/>
          <w:bCs/>
          <w:szCs w:val="21"/>
        </w:rPr>
        <w:t>（3）保垒机设备参数：</w:t>
      </w:r>
    </w:p>
    <w:tbl>
      <w:tblPr>
        <w:tblStyle w:val="458"/>
        <w:tblW w:w="8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328"/>
        <w:gridCol w:w="7647"/>
      </w:tblGrid>
      <w:tr w14:paraId="3D0E7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c>
          <w:tcPr>
            <w:tcW w:w="1328" w:type="dxa"/>
            <w:tcBorders>
              <w:top w:val="single" w:color="auto" w:sz="4" w:space="0"/>
              <w:left w:val="single" w:color="auto" w:sz="4" w:space="0"/>
              <w:bottom w:val="single" w:color="auto" w:sz="4" w:space="0"/>
              <w:right w:val="single" w:color="auto" w:sz="4" w:space="0"/>
            </w:tcBorders>
            <w:shd w:val="clear" w:color="auto" w:fill="FFFFFF"/>
            <w:vAlign w:val="center"/>
          </w:tcPr>
          <w:p w14:paraId="519A27AE">
            <w:pPr>
              <w:spacing w:line="360" w:lineRule="auto"/>
              <w:jc w:val="center"/>
              <w:rPr>
                <w:rFonts w:hint="eastAsia" w:ascii="宋体" w:hAnsi="宋体" w:cs="Courier New"/>
                <w:kern w:val="0"/>
                <w:szCs w:val="21"/>
              </w:rPr>
            </w:pPr>
            <w:r>
              <w:rPr>
                <w:rFonts w:hint="eastAsia" w:ascii="宋体" w:hAnsi="宋体" w:cs="Courier New"/>
                <w:kern w:val="0"/>
                <w:szCs w:val="21"/>
              </w:rPr>
              <w:t>指标项</w:t>
            </w:r>
          </w:p>
        </w:tc>
        <w:tc>
          <w:tcPr>
            <w:tcW w:w="7647" w:type="dxa"/>
            <w:tcBorders>
              <w:top w:val="single" w:color="auto" w:sz="4" w:space="0"/>
              <w:left w:val="single" w:color="auto" w:sz="4" w:space="0"/>
              <w:bottom w:val="single" w:color="auto" w:sz="4" w:space="0"/>
              <w:right w:val="single" w:color="auto" w:sz="4" w:space="0"/>
            </w:tcBorders>
            <w:shd w:val="clear" w:color="auto" w:fill="FFFFFF"/>
            <w:vAlign w:val="bottom"/>
          </w:tcPr>
          <w:p w14:paraId="21F131C1">
            <w:pPr>
              <w:spacing w:line="360" w:lineRule="auto"/>
              <w:ind w:firstLine="420" w:firstLineChars="200"/>
              <w:jc w:val="center"/>
              <w:rPr>
                <w:rFonts w:hint="eastAsia" w:ascii="宋体" w:hAnsi="宋体" w:cs="Courier New"/>
                <w:kern w:val="0"/>
                <w:szCs w:val="21"/>
              </w:rPr>
            </w:pPr>
            <w:r>
              <w:rPr>
                <w:rFonts w:hint="eastAsia" w:ascii="宋体" w:hAnsi="宋体" w:cs="Courier New"/>
                <w:kern w:val="0"/>
                <w:szCs w:val="21"/>
              </w:rPr>
              <w:t>详细参数</w:t>
            </w:r>
          </w:p>
        </w:tc>
      </w:tr>
      <w:tr w14:paraId="7876B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0" w:hRule="atLeast"/>
        </w:trPr>
        <w:tc>
          <w:tcPr>
            <w:tcW w:w="132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6DECE893">
            <w:pPr>
              <w:spacing w:line="360" w:lineRule="auto"/>
              <w:jc w:val="center"/>
              <w:rPr>
                <w:rFonts w:hint="eastAsia" w:ascii="宋体" w:hAnsi="宋体" w:cs="Courier New"/>
                <w:kern w:val="0"/>
                <w:szCs w:val="21"/>
              </w:rPr>
            </w:pPr>
            <w:r>
              <w:rPr>
                <w:rFonts w:hint="eastAsia" w:ascii="宋体" w:hAnsi="宋体" w:cs="Courier New"/>
                <w:kern w:val="0"/>
                <w:szCs w:val="21"/>
              </w:rPr>
              <w:t>基本要求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34A35167">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★采用国产化软硬件一体、标准机架式设备，≥4个100/1000M RJ45自适应以太网口；B/S架构管理，采用HTTPS方式远程安全管理，无需安装管理客户端。</w:t>
            </w:r>
          </w:p>
        </w:tc>
      </w:tr>
      <w:tr w14:paraId="39F5E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7E1549D1">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11BDD08A">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★可管理设备数无限制，提供≥200主机授权许可，运维用户数无限制，并发会话数≥1500个；设备内置存储系统，存储空间≥4TB。</w:t>
            </w:r>
          </w:p>
        </w:tc>
      </w:tr>
      <w:tr w14:paraId="7100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1328" w:type="dxa"/>
            <w:tcBorders>
              <w:top w:val="single" w:color="auto" w:sz="4" w:space="0"/>
              <w:left w:val="single" w:color="auto" w:sz="4" w:space="0"/>
              <w:bottom w:val="single" w:color="auto" w:sz="4" w:space="0"/>
              <w:right w:val="single" w:color="auto" w:sz="4" w:space="0"/>
            </w:tcBorders>
            <w:shd w:val="clear" w:color="auto" w:fill="FFFFFF"/>
            <w:vAlign w:val="center"/>
          </w:tcPr>
          <w:p w14:paraId="2A234C47">
            <w:pPr>
              <w:spacing w:line="360" w:lineRule="auto"/>
              <w:jc w:val="center"/>
              <w:rPr>
                <w:rFonts w:hint="eastAsia" w:ascii="宋体" w:hAnsi="宋体" w:cs="Courier New"/>
                <w:kern w:val="0"/>
                <w:szCs w:val="21"/>
              </w:rPr>
            </w:pPr>
            <w:r>
              <w:rPr>
                <w:rFonts w:hint="eastAsia" w:ascii="宋体" w:hAnsi="宋体" w:cs="Courier New"/>
                <w:kern w:val="0"/>
                <w:szCs w:val="21"/>
              </w:rPr>
              <w:t>危险操作访问控制及异常告警要求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27320F4B">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支持按用户（用户组）、目标设备（设备组）、系统帐号、命令集和生效时间等内容或按访问授权策略设定安全事件规则。 </w:t>
            </w:r>
          </w:p>
          <w:p w14:paraId="46817F5F">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支持以屏幕、邮件、SYSLOG、Snmp Trap、短信方式实时发送告警信息。</w:t>
            </w:r>
          </w:p>
        </w:tc>
      </w:tr>
      <w:tr w14:paraId="78925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32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2F910FC9">
            <w:pPr>
              <w:spacing w:line="360" w:lineRule="auto"/>
              <w:jc w:val="center"/>
              <w:rPr>
                <w:rFonts w:hint="eastAsia" w:ascii="宋体" w:hAnsi="宋体" w:cs="Courier New"/>
                <w:kern w:val="0"/>
                <w:szCs w:val="21"/>
              </w:rPr>
            </w:pPr>
            <w:r>
              <w:rPr>
                <w:rFonts w:hint="eastAsia" w:ascii="宋体" w:hAnsi="宋体" w:cs="Courier New"/>
                <w:kern w:val="0"/>
                <w:szCs w:val="21"/>
              </w:rPr>
              <w:t>设备资产运维访问方式要求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6B17512F">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Web访问方式:通过系统的Web页面控件直接访问服务器或通过WEB页面调用本地工具（含数据库官方客户端）直接访问服务器。 </w:t>
            </w:r>
          </w:p>
        </w:tc>
      </w:tr>
      <w:tr w14:paraId="293D1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211267AF">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5A206E87">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客户端访问方式：支持通过常用的客户端(如SecureCRT、PUTTY、Mstsc等)直接连接堡垒机再访问到服务器。</w:t>
            </w:r>
          </w:p>
        </w:tc>
      </w:tr>
      <w:tr w14:paraId="3CC5C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15"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27725F48">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69BE18AF">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提供RDP访问限制，只能通过控制台模式访问；提供VNC访问限制，只能通过应用通道访问。 </w:t>
            </w:r>
          </w:p>
        </w:tc>
      </w:tr>
      <w:tr w14:paraId="4BA20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0BA36CFA">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17985FDB">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▲提供统一运维通道功能，所有协议统一使用运维访问通道模式访问（磋商响应时需提供产品功能截图）。</w:t>
            </w:r>
          </w:p>
        </w:tc>
      </w:tr>
      <w:tr w14:paraId="0A600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230F67F3">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2113A9A6">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web访问方式支持直接输入目标IP快速连接功能。 </w:t>
            </w:r>
          </w:p>
        </w:tc>
      </w:tr>
      <w:tr w14:paraId="6BBDE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21DFFF6A">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29563863">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▲支持日志关联分析，可直接关联到日志同个会话中的所有操作日志（磋商响应时需提供产品功能截图）。</w:t>
            </w:r>
          </w:p>
        </w:tc>
      </w:tr>
      <w:tr w14:paraId="19225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32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706A079B">
            <w:pPr>
              <w:spacing w:line="360" w:lineRule="auto"/>
              <w:jc w:val="center"/>
              <w:rPr>
                <w:rFonts w:hint="eastAsia" w:ascii="宋体" w:hAnsi="宋体" w:cs="Courier New"/>
                <w:kern w:val="0"/>
                <w:szCs w:val="21"/>
              </w:rPr>
            </w:pPr>
            <w:r>
              <w:rPr>
                <w:rFonts w:hint="eastAsia" w:ascii="宋体" w:hAnsi="宋体" w:cs="Courier New"/>
                <w:kern w:val="0"/>
                <w:szCs w:val="21"/>
              </w:rPr>
              <w:t>设备资产自动改密要求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2EB2B6FA">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改密类型支持Windows、Linux、Unix、AIX、Cisco路由交换、HUAWEI路由交换、H3C路由交换等。</w:t>
            </w:r>
          </w:p>
        </w:tc>
      </w:tr>
      <w:tr w14:paraId="65085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5666F8CF">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476411B6">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主机类型及账号改密方式支持自定义配置，支持使用agent方式修改主机密码。 </w:t>
            </w:r>
          </w:p>
        </w:tc>
      </w:tr>
      <w:tr w14:paraId="2F418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1328" w:type="dxa"/>
            <w:tcBorders>
              <w:top w:val="single" w:color="auto" w:sz="4" w:space="0"/>
              <w:left w:val="single" w:color="auto" w:sz="4" w:space="0"/>
              <w:bottom w:val="single" w:color="auto" w:sz="4" w:space="0"/>
              <w:right w:val="single" w:color="auto" w:sz="4" w:space="0"/>
            </w:tcBorders>
            <w:shd w:val="clear" w:color="auto" w:fill="FFFFFF"/>
            <w:vAlign w:val="center"/>
          </w:tcPr>
          <w:p w14:paraId="0D1526CE">
            <w:pPr>
              <w:spacing w:line="360" w:lineRule="auto"/>
              <w:jc w:val="center"/>
              <w:rPr>
                <w:rFonts w:hint="eastAsia" w:ascii="宋体" w:hAnsi="宋体" w:cs="Courier New"/>
                <w:kern w:val="0"/>
                <w:szCs w:val="21"/>
              </w:rPr>
            </w:pPr>
            <w:r>
              <w:rPr>
                <w:rFonts w:hint="eastAsia" w:ascii="宋体" w:hAnsi="宋体" w:cs="Courier New"/>
                <w:kern w:val="0"/>
                <w:szCs w:val="21"/>
              </w:rPr>
              <w:t>实时监控</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7F7E66FA">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支持实时监控近期发生的所有会话信息，显示会话状态（连接中、退出、阻断）。</w:t>
            </w:r>
          </w:p>
        </w:tc>
      </w:tr>
      <w:tr w14:paraId="7D72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1328" w:type="dxa"/>
            <w:tcBorders>
              <w:top w:val="single" w:color="auto" w:sz="4" w:space="0"/>
              <w:left w:val="single" w:color="auto" w:sz="4" w:space="0"/>
              <w:bottom w:val="single" w:color="auto" w:sz="4" w:space="0"/>
              <w:right w:val="single" w:color="auto" w:sz="4" w:space="0"/>
            </w:tcBorders>
            <w:shd w:val="clear" w:color="auto" w:fill="FFFFFF"/>
            <w:vAlign w:val="center"/>
          </w:tcPr>
          <w:p w14:paraId="7F540C07">
            <w:pPr>
              <w:spacing w:line="360" w:lineRule="auto"/>
              <w:jc w:val="center"/>
              <w:rPr>
                <w:rFonts w:hint="eastAsia" w:ascii="宋体" w:hAnsi="宋体" w:cs="Courier New"/>
                <w:kern w:val="0"/>
                <w:szCs w:val="21"/>
              </w:rPr>
            </w:pPr>
            <w:r>
              <w:rPr>
                <w:rFonts w:hint="eastAsia" w:ascii="宋体" w:hAnsi="宋体" w:cs="Courier New"/>
                <w:kern w:val="0"/>
                <w:szCs w:val="21"/>
              </w:rPr>
              <w:t>历史查询及审计报表</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565E5F14">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支持单一条件快速查询、查询结果二次过滤以及多重条件组合高级查询功能。</w:t>
            </w:r>
          </w:p>
        </w:tc>
      </w:tr>
      <w:tr w14:paraId="2E7E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87" w:hRule="atLeast"/>
        </w:trPr>
        <w:tc>
          <w:tcPr>
            <w:tcW w:w="132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295531B0">
            <w:pPr>
              <w:spacing w:line="360" w:lineRule="auto"/>
              <w:jc w:val="center"/>
              <w:rPr>
                <w:rFonts w:hint="eastAsia" w:ascii="宋体" w:hAnsi="宋体" w:cs="Courier New"/>
                <w:kern w:val="0"/>
                <w:szCs w:val="21"/>
              </w:rPr>
            </w:pPr>
            <w:r>
              <w:rPr>
                <w:rFonts w:hint="eastAsia" w:ascii="宋体" w:hAnsi="宋体" w:cs="Courier New"/>
                <w:kern w:val="0"/>
                <w:szCs w:val="21"/>
              </w:rPr>
              <w:t>数据安全管理要求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445FE91B">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支持自动归档和手动备份、支持以FTP/SFTP等方式自动上传归档数据。</w:t>
            </w:r>
          </w:p>
        </w:tc>
      </w:tr>
      <w:tr w14:paraId="3906C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87"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46C7FD6B">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0151C532">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▲提供云备份存储接口，支持天翼云、阿里云、百度云、腾讯云、华为云、沃云、移动云等多家云存储供应商接口（磋商响应时需提供产品功能截图，功能截图中需要至少五个云存储供应商接口）。 </w:t>
            </w:r>
          </w:p>
        </w:tc>
      </w:tr>
      <w:tr w14:paraId="3FE07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1328" w:type="dxa"/>
            <w:tcBorders>
              <w:top w:val="single" w:color="auto" w:sz="4" w:space="0"/>
              <w:left w:val="single" w:color="auto" w:sz="4" w:space="0"/>
              <w:bottom w:val="single" w:color="auto" w:sz="4" w:space="0"/>
              <w:right w:val="single" w:color="auto" w:sz="4" w:space="0"/>
            </w:tcBorders>
            <w:shd w:val="clear" w:color="auto" w:fill="FFFFFF"/>
            <w:vAlign w:val="center"/>
          </w:tcPr>
          <w:p w14:paraId="534EE049">
            <w:pPr>
              <w:spacing w:line="360" w:lineRule="auto"/>
              <w:jc w:val="center"/>
              <w:rPr>
                <w:rFonts w:hint="eastAsia" w:ascii="宋体" w:hAnsi="宋体" w:cs="Courier New"/>
                <w:kern w:val="0"/>
                <w:szCs w:val="21"/>
              </w:rPr>
            </w:pPr>
            <w:r>
              <w:rPr>
                <w:rFonts w:hint="eastAsia" w:ascii="宋体" w:hAnsi="宋体" w:cs="Courier New"/>
                <w:kern w:val="0"/>
                <w:szCs w:val="21"/>
              </w:rPr>
              <w:t>消息中心功能要求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13FF2FFB">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支持工作任务流程及消息中心管理功能：支持用户间互相发送消息，通过消息下发工作任务等功能。 </w:t>
            </w:r>
          </w:p>
        </w:tc>
      </w:tr>
      <w:tr w14:paraId="28500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50" w:hRule="atLeast"/>
        </w:trPr>
        <w:tc>
          <w:tcPr>
            <w:tcW w:w="132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14:paraId="20B7C0E9">
            <w:pPr>
              <w:spacing w:line="360" w:lineRule="auto"/>
              <w:jc w:val="center"/>
              <w:rPr>
                <w:rFonts w:hint="eastAsia" w:ascii="宋体" w:hAnsi="宋体" w:cs="Courier New"/>
                <w:kern w:val="0"/>
                <w:szCs w:val="21"/>
              </w:rPr>
            </w:pPr>
            <w:r>
              <w:rPr>
                <w:rFonts w:hint="eastAsia" w:ascii="宋体" w:hAnsi="宋体" w:cs="Courier New"/>
                <w:kern w:val="0"/>
                <w:szCs w:val="21"/>
              </w:rPr>
              <w:t>系统管理功能要求</w:t>
            </w: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44706E9B">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 xml:space="preserve">支持升级中心功能，提供手动和自动升级，自动升级可以配置升级服务器地址、开始时间、选择补丁升级或版本升级。 </w:t>
            </w:r>
          </w:p>
        </w:tc>
      </w:tr>
      <w:tr w14:paraId="2388B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77"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202F5629">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530936D0">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支持将所有运维日志通过SYSLOG外发，支持系统告警日志发送。</w:t>
            </w:r>
          </w:p>
        </w:tc>
      </w:tr>
      <w:tr w14:paraId="2C2C1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4E755B1F">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07358B42">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▲支持对数据国密加密配置及通迅国密加密配置（磋商响应时需提供产品功能截图）。</w:t>
            </w:r>
          </w:p>
        </w:tc>
      </w:tr>
      <w:tr w14:paraId="5399C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0" w:type="auto"/>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31BC9972">
            <w:pPr>
              <w:widowControl/>
              <w:jc w:val="left"/>
              <w:rPr>
                <w:rFonts w:hint="eastAsia" w:ascii="宋体" w:hAnsi="宋体" w:cs="Courier New"/>
                <w:kern w:val="0"/>
                <w:szCs w:val="21"/>
              </w:rPr>
            </w:pPr>
          </w:p>
        </w:tc>
        <w:tc>
          <w:tcPr>
            <w:tcW w:w="7647" w:type="dxa"/>
            <w:tcBorders>
              <w:top w:val="single" w:color="auto" w:sz="4" w:space="0"/>
              <w:left w:val="single" w:color="auto" w:sz="4" w:space="0"/>
              <w:bottom w:val="single" w:color="auto" w:sz="4" w:space="0"/>
              <w:right w:val="single" w:color="auto" w:sz="4" w:space="0"/>
            </w:tcBorders>
            <w:shd w:val="clear" w:color="auto" w:fill="FFFFFF"/>
          </w:tcPr>
          <w:p w14:paraId="2B576A68">
            <w:pPr>
              <w:spacing w:line="360" w:lineRule="auto"/>
              <w:ind w:firstLine="420" w:firstLineChars="200"/>
              <w:rPr>
                <w:rFonts w:hint="eastAsia" w:ascii="宋体" w:hAnsi="宋体" w:cs="Courier New"/>
                <w:kern w:val="0"/>
                <w:szCs w:val="21"/>
              </w:rPr>
            </w:pPr>
            <w:r>
              <w:rPr>
                <w:rFonts w:hint="eastAsia" w:ascii="宋体" w:hAnsi="宋体" w:cs="Courier New"/>
                <w:kern w:val="0"/>
                <w:szCs w:val="21"/>
              </w:rPr>
              <w:t>▲支持修改不同访问模式（客户端直连、菜单方式）的默认访问端口（磋商响应时需提供产品功能截图）。</w:t>
            </w:r>
          </w:p>
        </w:tc>
      </w:tr>
    </w:tbl>
    <w:p w14:paraId="4EC9ACA1">
      <w:pPr>
        <w:spacing w:line="360" w:lineRule="auto"/>
        <w:ind w:firstLine="420" w:firstLineChars="200"/>
        <w:rPr>
          <w:rFonts w:hint="eastAsia" w:ascii="宋体" w:hAnsi="宋体"/>
          <w:szCs w:val="21"/>
        </w:rPr>
      </w:pPr>
    </w:p>
    <w:p w14:paraId="29F082EB">
      <w:pPr>
        <w:snapToGrid w:val="0"/>
        <w:spacing w:line="480" w:lineRule="exact"/>
        <w:ind w:firstLine="707" w:firstLineChars="200"/>
        <w:jc w:val="center"/>
        <w:rPr>
          <w:rFonts w:hint="eastAsia" w:ascii="宋体" w:hAnsi="宋体" w:cs="宋体"/>
          <w:b/>
          <w:bCs/>
          <w:w w:val="80"/>
          <w:kern w:val="44"/>
          <w:sz w:val="44"/>
          <w:szCs w:val="44"/>
        </w:rPr>
      </w:pPr>
    </w:p>
    <w:p w14:paraId="0ADB3077">
      <w:pPr>
        <w:snapToGrid w:val="0"/>
        <w:spacing w:line="480" w:lineRule="exact"/>
        <w:ind w:firstLine="707" w:firstLineChars="200"/>
        <w:jc w:val="center"/>
        <w:rPr>
          <w:rFonts w:hint="eastAsia" w:ascii="宋体" w:hAnsi="宋体" w:cs="宋体"/>
          <w:b/>
          <w:bCs/>
          <w:w w:val="80"/>
          <w:kern w:val="44"/>
          <w:sz w:val="44"/>
          <w:szCs w:val="44"/>
        </w:rPr>
      </w:pPr>
    </w:p>
    <w:p w14:paraId="15DEF676">
      <w:pPr>
        <w:snapToGrid w:val="0"/>
        <w:spacing w:line="480" w:lineRule="exact"/>
        <w:ind w:firstLine="707" w:firstLineChars="200"/>
        <w:jc w:val="center"/>
        <w:rPr>
          <w:rFonts w:hint="eastAsia" w:ascii="宋体" w:hAnsi="宋体" w:cs="宋体"/>
          <w:b/>
          <w:bCs/>
          <w:w w:val="80"/>
          <w:kern w:val="44"/>
          <w:sz w:val="44"/>
          <w:szCs w:val="44"/>
        </w:rPr>
      </w:pPr>
    </w:p>
    <w:p w14:paraId="25A1CD4F">
      <w:pPr>
        <w:snapToGrid w:val="0"/>
        <w:spacing w:line="480" w:lineRule="exact"/>
        <w:ind w:firstLine="707" w:firstLineChars="200"/>
        <w:jc w:val="center"/>
        <w:rPr>
          <w:rFonts w:hint="eastAsia" w:ascii="宋体" w:hAnsi="宋体" w:cs="宋体"/>
          <w:b/>
          <w:bCs/>
          <w:w w:val="80"/>
          <w:kern w:val="44"/>
          <w:sz w:val="44"/>
          <w:szCs w:val="44"/>
        </w:rPr>
      </w:pPr>
    </w:p>
    <w:p w14:paraId="4B4E0B44">
      <w:pPr>
        <w:snapToGrid w:val="0"/>
        <w:spacing w:line="480" w:lineRule="exact"/>
        <w:ind w:firstLine="707" w:firstLineChars="200"/>
        <w:jc w:val="center"/>
        <w:rPr>
          <w:rFonts w:hint="eastAsia" w:ascii="宋体" w:hAnsi="宋体" w:cs="宋体"/>
          <w:b/>
          <w:bCs/>
          <w:w w:val="80"/>
          <w:kern w:val="44"/>
          <w:sz w:val="44"/>
          <w:szCs w:val="44"/>
        </w:rPr>
      </w:pPr>
    </w:p>
    <w:p w14:paraId="0C13190E">
      <w:pPr>
        <w:snapToGrid w:val="0"/>
        <w:spacing w:line="480" w:lineRule="exact"/>
        <w:ind w:firstLine="707" w:firstLineChars="200"/>
        <w:jc w:val="center"/>
        <w:rPr>
          <w:rFonts w:hint="eastAsia" w:ascii="宋体" w:hAnsi="宋体" w:cs="宋体"/>
          <w:b/>
          <w:bCs/>
          <w:w w:val="80"/>
          <w:kern w:val="44"/>
          <w:sz w:val="44"/>
          <w:szCs w:val="44"/>
        </w:rPr>
      </w:pPr>
    </w:p>
    <w:p w14:paraId="53B4F066">
      <w:pPr>
        <w:snapToGrid w:val="0"/>
        <w:spacing w:line="480" w:lineRule="exact"/>
        <w:ind w:firstLine="707" w:firstLineChars="200"/>
        <w:jc w:val="center"/>
        <w:rPr>
          <w:rFonts w:hint="eastAsia" w:ascii="宋体" w:hAnsi="宋体" w:cs="宋体"/>
          <w:b/>
          <w:bCs/>
          <w:w w:val="80"/>
          <w:kern w:val="44"/>
          <w:sz w:val="44"/>
          <w:szCs w:val="44"/>
        </w:rPr>
      </w:pPr>
    </w:p>
    <w:p w14:paraId="5F774960">
      <w:pPr>
        <w:snapToGrid w:val="0"/>
        <w:spacing w:line="480" w:lineRule="exact"/>
        <w:ind w:firstLine="707" w:firstLineChars="200"/>
        <w:jc w:val="center"/>
        <w:rPr>
          <w:rFonts w:hint="eastAsia" w:ascii="宋体" w:hAnsi="宋体" w:cs="宋体"/>
          <w:b/>
          <w:bCs/>
          <w:w w:val="80"/>
          <w:kern w:val="44"/>
          <w:sz w:val="44"/>
          <w:szCs w:val="44"/>
        </w:rPr>
      </w:pPr>
    </w:p>
    <w:p w14:paraId="7E46DD49">
      <w:pPr>
        <w:snapToGrid w:val="0"/>
        <w:spacing w:line="480" w:lineRule="exact"/>
        <w:ind w:firstLine="707" w:firstLineChars="200"/>
        <w:jc w:val="center"/>
        <w:rPr>
          <w:rFonts w:hint="eastAsia" w:ascii="宋体" w:hAnsi="宋体" w:cs="宋体"/>
          <w:b/>
          <w:bCs/>
          <w:w w:val="80"/>
          <w:kern w:val="44"/>
          <w:sz w:val="44"/>
          <w:szCs w:val="44"/>
        </w:rPr>
      </w:pPr>
    </w:p>
    <w:p w14:paraId="7FA42B8F">
      <w:pPr>
        <w:snapToGrid w:val="0"/>
        <w:spacing w:line="480" w:lineRule="exact"/>
        <w:ind w:firstLine="707" w:firstLineChars="200"/>
        <w:jc w:val="center"/>
        <w:rPr>
          <w:rFonts w:hint="eastAsia" w:ascii="宋体" w:hAnsi="宋体" w:cs="宋体"/>
          <w:b/>
          <w:bCs/>
          <w:w w:val="80"/>
          <w:kern w:val="44"/>
          <w:sz w:val="44"/>
          <w:szCs w:val="44"/>
        </w:rPr>
      </w:pPr>
    </w:p>
    <w:p w14:paraId="5827F878">
      <w:pPr>
        <w:snapToGrid w:val="0"/>
        <w:spacing w:line="480" w:lineRule="exact"/>
        <w:ind w:firstLine="707" w:firstLineChars="200"/>
        <w:jc w:val="center"/>
        <w:rPr>
          <w:rFonts w:hint="eastAsia" w:ascii="宋体" w:hAnsi="宋体" w:cs="宋体"/>
          <w:b/>
          <w:bCs/>
          <w:w w:val="80"/>
          <w:kern w:val="44"/>
          <w:sz w:val="44"/>
          <w:szCs w:val="44"/>
        </w:rPr>
      </w:pPr>
    </w:p>
    <w:p w14:paraId="1074069D">
      <w:pPr>
        <w:snapToGrid w:val="0"/>
        <w:spacing w:line="480" w:lineRule="exact"/>
        <w:ind w:firstLine="707" w:firstLineChars="200"/>
        <w:jc w:val="center"/>
        <w:rPr>
          <w:rFonts w:hint="eastAsia" w:ascii="宋体" w:hAnsi="宋体" w:cs="宋体"/>
          <w:b/>
          <w:bCs/>
          <w:w w:val="80"/>
          <w:kern w:val="44"/>
          <w:sz w:val="44"/>
          <w:szCs w:val="44"/>
        </w:rPr>
      </w:pPr>
    </w:p>
    <w:p w14:paraId="4E2E618B">
      <w:pPr>
        <w:snapToGrid w:val="0"/>
        <w:spacing w:line="480" w:lineRule="exact"/>
        <w:ind w:firstLine="707" w:firstLineChars="200"/>
        <w:jc w:val="center"/>
        <w:rPr>
          <w:rFonts w:hint="eastAsia" w:ascii="宋体" w:hAnsi="宋体" w:cs="宋体"/>
          <w:b/>
          <w:bCs/>
          <w:w w:val="80"/>
          <w:kern w:val="44"/>
          <w:sz w:val="44"/>
          <w:szCs w:val="44"/>
        </w:rPr>
      </w:pPr>
    </w:p>
    <w:p w14:paraId="6460E749">
      <w:pPr>
        <w:snapToGrid w:val="0"/>
        <w:spacing w:line="480" w:lineRule="exact"/>
        <w:ind w:firstLine="707" w:firstLineChars="200"/>
        <w:jc w:val="center"/>
        <w:rPr>
          <w:rFonts w:ascii="宋体" w:cs="宋体"/>
          <w:szCs w:val="44"/>
        </w:rPr>
      </w:pPr>
      <w:r>
        <w:rPr>
          <w:rFonts w:hint="eastAsia" w:ascii="宋体" w:hAnsi="宋体" w:cs="宋体"/>
          <w:b/>
          <w:bCs/>
          <w:w w:val="80"/>
          <w:kern w:val="44"/>
          <w:sz w:val="44"/>
          <w:szCs w:val="44"/>
        </w:rPr>
        <w:t xml:space="preserve">第六章  </w:t>
      </w:r>
      <w:r>
        <w:rPr>
          <w:rFonts w:ascii="宋体" w:hAnsi="宋体" w:cs="宋体"/>
          <w:b/>
          <w:bCs/>
          <w:w w:val="80"/>
          <w:kern w:val="44"/>
          <w:sz w:val="44"/>
          <w:szCs w:val="44"/>
        </w:rPr>
        <w:t xml:space="preserve">  </w:t>
      </w:r>
      <w:r>
        <w:rPr>
          <w:rFonts w:hint="eastAsia" w:ascii="宋体" w:hAnsi="宋体" w:cs="宋体"/>
          <w:b/>
          <w:bCs/>
          <w:w w:val="80"/>
          <w:kern w:val="44"/>
          <w:sz w:val="44"/>
          <w:szCs w:val="44"/>
        </w:rPr>
        <w:t>响应文件组成</w:t>
      </w:r>
      <w:bookmarkEnd w:id="86"/>
      <w:r>
        <w:rPr>
          <w:rFonts w:hint="eastAsia" w:ascii="宋体" w:hAnsi="宋体" w:cs="宋体"/>
          <w:b/>
          <w:bCs/>
          <w:w w:val="80"/>
          <w:kern w:val="44"/>
          <w:sz w:val="44"/>
          <w:szCs w:val="44"/>
        </w:rPr>
        <w:t xml:space="preserve"> </w:t>
      </w:r>
    </w:p>
    <w:p w14:paraId="7495DAE5">
      <w:pPr>
        <w:adjustRightInd w:val="0"/>
        <w:snapToGrid w:val="0"/>
        <w:spacing w:line="440" w:lineRule="exact"/>
        <w:ind w:firstLine="482" w:firstLineChars="200"/>
        <w:jc w:val="left"/>
        <w:rPr>
          <w:rFonts w:ascii="宋体" w:cs="宋体"/>
          <w:b/>
          <w:bCs/>
          <w:sz w:val="24"/>
          <w:szCs w:val="24"/>
        </w:rPr>
      </w:pPr>
      <w:r>
        <w:rPr>
          <w:rFonts w:hint="eastAsia" w:ascii="宋体" w:hAnsi="宋体" w:cs="宋体"/>
          <w:b/>
          <w:bCs/>
          <w:sz w:val="24"/>
          <w:szCs w:val="24"/>
        </w:rPr>
        <w:t>响应文件由资格审查文件、商务技术响应文件、报价响应文件三部分组成。本次竞争性磋商采用资格后审方式，供应商须将资格审查文件作为响应文件组成部分，按磋商文件要求装订密封后一起递交。</w:t>
      </w:r>
    </w:p>
    <w:p w14:paraId="33FB7B4D">
      <w:pPr>
        <w:adjustRightInd w:val="0"/>
        <w:snapToGrid w:val="0"/>
        <w:spacing w:line="440" w:lineRule="exact"/>
        <w:ind w:firstLine="482" w:firstLineChars="200"/>
        <w:jc w:val="left"/>
        <w:rPr>
          <w:rFonts w:ascii="宋体" w:cs="宋体"/>
          <w:b/>
          <w:bCs/>
          <w:sz w:val="24"/>
          <w:szCs w:val="24"/>
        </w:rPr>
      </w:pPr>
      <w:r>
        <w:rPr>
          <w:rFonts w:hint="eastAsia" w:ascii="宋体" w:hAnsi="宋体" w:cs="宋体"/>
          <w:b/>
          <w:bCs/>
          <w:sz w:val="24"/>
          <w:szCs w:val="24"/>
        </w:rPr>
        <w:t>一、资格审查文件（单独密封）：</w:t>
      </w:r>
    </w:p>
    <w:p w14:paraId="51B61968">
      <w:pPr>
        <w:spacing w:line="440" w:lineRule="exact"/>
        <w:ind w:firstLine="480" w:firstLineChars="200"/>
        <w:rPr>
          <w:rFonts w:hint="eastAsia" w:asciiTheme="majorEastAsia" w:hAnsiTheme="majorEastAsia" w:eastAsiaTheme="majorEastAsia"/>
          <w:sz w:val="24"/>
          <w:szCs w:val="24"/>
        </w:rPr>
      </w:pPr>
      <w:r>
        <w:rPr>
          <w:rFonts w:hint="eastAsia" w:asciiTheme="majorEastAsia" w:hAnsiTheme="majorEastAsia" w:eastAsiaTheme="majorEastAsia"/>
          <w:sz w:val="24"/>
          <w:szCs w:val="24"/>
        </w:rPr>
        <w:t>1、供应商需提供有效的企业法人营业执照（副本）及税务登记证（副本）复印件；或者是三证合一的营业执照（副本）复印件。</w:t>
      </w:r>
    </w:p>
    <w:p w14:paraId="51F97BDA">
      <w:pPr>
        <w:snapToGrid w:val="0"/>
        <w:spacing w:line="440" w:lineRule="exact"/>
        <w:ind w:firstLine="480" w:firstLineChars="200"/>
        <w:rPr>
          <w:rFonts w:hint="eastAsia" w:ascii="宋体" w:hAnsi="宋体" w:cs="宋体"/>
          <w:sz w:val="24"/>
          <w:szCs w:val="24"/>
        </w:rPr>
      </w:pPr>
      <w:r>
        <w:rPr>
          <w:rFonts w:hint="eastAsia" w:asciiTheme="majorEastAsia" w:hAnsiTheme="majorEastAsia" w:eastAsiaTheme="majorEastAsia"/>
          <w:sz w:val="24"/>
          <w:szCs w:val="24"/>
        </w:rPr>
        <w:t>2</w:t>
      </w:r>
      <w:r>
        <w:rPr>
          <w:rFonts w:hint="eastAsia" w:ascii="宋体" w:hAnsi="宋体" w:cs="宋体"/>
          <w:bCs/>
          <w:sz w:val="24"/>
          <w:szCs w:val="24"/>
        </w:rPr>
        <w:t>、供应商法定代表人参加磋商的，必须提供法定代表人身份证明及法定代表人本人身份证复印件；非法定代表人参加磋商的，必须提供法定代表人签字或盖章</w:t>
      </w:r>
      <w:r>
        <w:rPr>
          <w:rFonts w:hint="eastAsia" w:ascii="宋体" w:hAnsi="宋体" w:cs="宋体"/>
          <w:sz w:val="24"/>
          <w:szCs w:val="24"/>
        </w:rPr>
        <w:t>的授权委托书及法定代表人、被授权人的两人身份证的复印件。（格式参见第六章）</w:t>
      </w:r>
    </w:p>
    <w:p w14:paraId="6B114890">
      <w:pPr>
        <w:snapToGrid w:val="0"/>
        <w:spacing w:line="440" w:lineRule="exact"/>
        <w:ind w:firstLine="560"/>
        <w:rPr>
          <w:rFonts w:ascii="宋体" w:cs="宋体"/>
          <w:sz w:val="24"/>
          <w:szCs w:val="24"/>
        </w:rPr>
      </w:pPr>
      <w:r>
        <w:rPr>
          <w:rFonts w:hint="eastAsia" w:ascii="宋体" w:hAnsi="宋体" w:cs="宋体"/>
          <w:sz w:val="24"/>
          <w:szCs w:val="24"/>
        </w:rPr>
        <w:t>3、投标人符合本项目供应商资格要求中“本项目的基本资格要求”规定条件的承诺函。（格式参见第六章）</w:t>
      </w:r>
    </w:p>
    <w:p w14:paraId="1119AB82">
      <w:pPr>
        <w:spacing w:line="440" w:lineRule="exact"/>
        <w:ind w:firstLine="480" w:firstLineChars="200"/>
        <w:rPr>
          <w:rFonts w:hint="eastAsia" w:ascii="宋体" w:hAnsi="宋体" w:cs="宋体"/>
          <w:sz w:val="24"/>
          <w:szCs w:val="24"/>
        </w:rPr>
      </w:pPr>
      <w:r>
        <w:rPr>
          <w:rFonts w:hint="eastAsia" w:ascii="宋体" w:hAnsi="宋体" w:cs="宋体"/>
          <w:sz w:val="24"/>
          <w:szCs w:val="24"/>
        </w:rPr>
        <w:t>4、供应商须提供资格文件声明函（原件）。（格式参见第六章）</w:t>
      </w:r>
    </w:p>
    <w:p w14:paraId="20D562FC">
      <w:pPr>
        <w:adjustRightInd w:val="0"/>
        <w:snapToGrid w:val="0"/>
        <w:spacing w:line="440" w:lineRule="exact"/>
        <w:ind w:firstLine="480" w:firstLineChars="200"/>
        <w:jc w:val="left"/>
        <w:rPr>
          <w:rFonts w:hint="eastAsia" w:cs="宋体" w:asciiTheme="minorEastAsia" w:hAnsiTheme="minorEastAsia" w:eastAsiaTheme="minorEastAsia"/>
          <w:kern w:val="0"/>
          <w:sz w:val="24"/>
          <w:szCs w:val="24"/>
        </w:rPr>
      </w:pPr>
      <w:r>
        <w:rPr>
          <w:rFonts w:hint="eastAsia" w:ascii="宋体" w:hAnsi="宋体" w:cs="宋体"/>
          <w:sz w:val="24"/>
          <w:szCs w:val="24"/>
        </w:rPr>
        <w:t>5、</w:t>
      </w:r>
      <w:r>
        <w:rPr>
          <w:rFonts w:hint="eastAsia" w:cs="宋体" w:asciiTheme="minorEastAsia" w:hAnsiTheme="minorEastAsia" w:eastAsiaTheme="minorEastAsia"/>
          <w:kern w:val="0"/>
          <w:sz w:val="24"/>
          <w:szCs w:val="24"/>
        </w:rPr>
        <w:t>未被“信用中国”网站（www.creditchina.gov.cn）列入失信被执行人、重大税收违法失信主体名单、政府采购严重违法失信行为记录名单。</w:t>
      </w:r>
    </w:p>
    <w:p w14:paraId="35431F56">
      <w:pPr>
        <w:adjustRightInd w:val="0"/>
        <w:snapToGrid w:val="0"/>
        <w:spacing w:line="440" w:lineRule="exact"/>
        <w:ind w:firstLine="480" w:firstLineChars="200"/>
        <w:jc w:val="left"/>
        <w:rPr>
          <w:rFonts w:hint="eastAsia" w:ascii="宋体" w:hAnsi="宋体" w:cs="宋体"/>
          <w:sz w:val="24"/>
          <w:szCs w:val="24"/>
        </w:rPr>
      </w:pPr>
      <w:r>
        <w:rPr>
          <w:rFonts w:hint="eastAsia" w:ascii="宋体" w:hAnsi="宋体" w:cs="宋体"/>
          <w:sz w:val="24"/>
          <w:szCs w:val="24"/>
        </w:rPr>
        <w:t>采购代理机构在本项目提交响应文件截止日期当天通过“信用中国”网站查询所有提交响应文件供应商的信用记录，并将所有提交响应文件供应商的查询记录电子截屏提交给评审小组。评审小组对于被列入失信被执行人、重大税收违法失信主体名单、政府采购严重违法失信行为记录名单的供应商，拒绝其继续参与本项目采购活动，按照无效响应文件处理。查询记录电子截屏作为证据留存，与采购项目其他材料一并归档。</w:t>
      </w:r>
    </w:p>
    <w:p w14:paraId="6B15EC26">
      <w:pPr>
        <w:adjustRightInd w:val="0"/>
        <w:snapToGrid w:val="0"/>
        <w:spacing w:line="440" w:lineRule="exact"/>
        <w:ind w:firstLine="480" w:firstLineChars="200"/>
        <w:jc w:val="left"/>
        <w:rPr>
          <w:rFonts w:hint="eastAsia" w:ascii="宋体" w:hAnsi="宋体" w:cs="宋体"/>
          <w:sz w:val="24"/>
          <w:szCs w:val="24"/>
        </w:rPr>
      </w:pPr>
      <w:r>
        <w:rPr>
          <w:rFonts w:hint="eastAsia" w:ascii="宋体" w:hAnsi="宋体" w:cs="宋体"/>
          <w:sz w:val="24"/>
          <w:szCs w:val="24"/>
        </w:rPr>
        <w:t>供应商不良信用记录以采购采购代理机构查询结果为准，采购采购代理机构查询之后，“信用中国”网站信息发生的任何变更均不再作为评审依据，供应商自行提供的与网站信息不一致的其他证明材料亦不作为评审依据。</w:t>
      </w:r>
    </w:p>
    <w:p w14:paraId="431159B4">
      <w:pPr>
        <w:numPr>
          <w:ilvl w:val="0"/>
          <w:numId w:val="5"/>
        </w:numPr>
        <w:adjustRightInd w:val="0"/>
        <w:snapToGrid w:val="0"/>
        <w:spacing w:line="440" w:lineRule="exact"/>
        <w:ind w:firstLine="482" w:firstLineChars="200"/>
        <w:jc w:val="left"/>
        <w:rPr>
          <w:rFonts w:ascii="宋体" w:cs="宋体"/>
          <w:bCs/>
          <w:sz w:val="24"/>
          <w:szCs w:val="24"/>
        </w:rPr>
      </w:pPr>
      <w:r>
        <w:rPr>
          <w:rFonts w:hint="eastAsia" w:ascii="宋体" w:hAnsi="宋体" w:cs="宋体"/>
          <w:b/>
          <w:bCs/>
          <w:sz w:val="24"/>
          <w:szCs w:val="24"/>
        </w:rPr>
        <w:t>商务技术响应文件（单独密封）：</w:t>
      </w:r>
    </w:p>
    <w:p w14:paraId="0BAB1773">
      <w:pPr>
        <w:spacing w:line="44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、竞争性磋商响应函；（格式参见第六章）</w:t>
      </w:r>
    </w:p>
    <w:p w14:paraId="3DAF4E13">
      <w:pPr>
        <w:spacing w:line="440" w:lineRule="exact"/>
        <w:ind w:firstLine="480" w:firstLineChars="200"/>
        <w:rPr>
          <w:rFonts w:hint="eastAsia" w:ascii="宋体" w:hAnsi="宋体" w:cs="宋体"/>
          <w:sz w:val="24"/>
          <w:szCs w:val="24"/>
        </w:rPr>
      </w:pPr>
      <w:r>
        <w:rPr>
          <w:rFonts w:ascii="宋体" w:hAnsi="宋体" w:cs="宋体"/>
          <w:sz w:val="24"/>
          <w:szCs w:val="24"/>
        </w:rPr>
        <w:t>2</w:t>
      </w:r>
      <w:r>
        <w:rPr>
          <w:rFonts w:hint="eastAsia" w:ascii="宋体" w:hAnsi="宋体" w:cs="宋体"/>
          <w:sz w:val="24"/>
          <w:szCs w:val="24"/>
        </w:rPr>
        <w:t>、供应商一般情况表；（格式参见第六章）</w:t>
      </w:r>
    </w:p>
    <w:p w14:paraId="09530AB1">
      <w:pPr>
        <w:spacing w:line="440" w:lineRule="exact"/>
        <w:ind w:firstLine="480" w:firstLineChars="200"/>
        <w:rPr>
          <w:rFonts w:ascii="宋体" w:cs="宋体"/>
          <w:sz w:val="24"/>
          <w:szCs w:val="24"/>
        </w:rPr>
      </w:pPr>
      <w:r>
        <w:rPr>
          <w:rFonts w:hint="eastAsia" w:ascii="宋体" w:hAnsi="宋体" w:cs="宋体"/>
          <w:sz w:val="24"/>
          <w:szCs w:val="24"/>
        </w:rPr>
        <w:t>3、评标办法中所涉及的事项需提供的所有资料；</w:t>
      </w:r>
    </w:p>
    <w:p w14:paraId="51CDEF55">
      <w:pPr>
        <w:spacing w:line="440" w:lineRule="exact"/>
        <w:ind w:firstLine="480" w:firstLineChars="200"/>
        <w:rPr>
          <w:rFonts w:ascii="宋体" w:cs="宋体"/>
          <w:sz w:val="24"/>
          <w:szCs w:val="24"/>
        </w:rPr>
      </w:pPr>
      <w:r>
        <w:rPr>
          <w:rFonts w:hint="eastAsia" w:ascii="宋体" w:hAnsi="宋体" w:cs="宋体"/>
          <w:sz w:val="24"/>
          <w:szCs w:val="24"/>
        </w:rPr>
        <w:t>4、评分办法中未涉及的事项，投标供应商认为需要提交的其他资料。</w:t>
      </w:r>
    </w:p>
    <w:p w14:paraId="64637135">
      <w:pPr>
        <w:snapToGrid w:val="0"/>
        <w:spacing w:line="440" w:lineRule="exact"/>
        <w:ind w:firstLine="480" w:firstLineChars="200"/>
        <w:rPr>
          <w:rFonts w:ascii="宋体" w:cs="宋体"/>
          <w:bCs/>
          <w:sz w:val="24"/>
          <w:szCs w:val="24"/>
        </w:rPr>
      </w:pPr>
      <w:r>
        <w:rPr>
          <w:rFonts w:hint="eastAsia" w:ascii="宋体" w:hAnsi="宋体" w:cs="宋体"/>
          <w:sz w:val="24"/>
          <w:szCs w:val="24"/>
        </w:rPr>
        <w:t>注：为方便评委评审，请投标供应商按评标办法中所涉及的事项顺序进行编制，可以补充相关材料；</w:t>
      </w:r>
    </w:p>
    <w:p w14:paraId="55FAFC95">
      <w:pPr>
        <w:snapToGrid w:val="0"/>
        <w:spacing w:line="440" w:lineRule="exact"/>
        <w:ind w:firstLine="482" w:firstLineChars="200"/>
        <w:rPr>
          <w:rFonts w:ascii="宋体" w:cs="宋体"/>
          <w:b/>
          <w:sz w:val="24"/>
          <w:szCs w:val="24"/>
        </w:rPr>
      </w:pPr>
      <w:r>
        <w:rPr>
          <w:rFonts w:hint="eastAsia" w:ascii="宋体" w:hAnsi="宋体" w:cs="宋体"/>
          <w:b/>
          <w:bCs/>
          <w:sz w:val="24"/>
          <w:szCs w:val="24"/>
        </w:rPr>
        <w:t>特别提醒：“资格审查文件”、“商务技术响应文件”所须提供的材料（复印件须加盖投标供应商公章）按磋商文件要求装订，密封，递交。</w:t>
      </w:r>
    </w:p>
    <w:p w14:paraId="18B8C369">
      <w:pPr>
        <w:adjustRightInd w:val="0"/>
        <w:snapToGrid w:val="0"/>
        <w:spacing w:line="440" w:lineRule="exact"/>
        <w:ind w:firstLine="482" w:firstLineChars="200"/>
        <w:jc w:val="left"/>
        <w:rPr>
          <w:rFonts w:ascii="宋体" w:cs="宋体"/>
          <w:b/>
          <w:sz w:val="24"/>
          <w:szCs w:val="24"/>
          <w:lang w:val="zh-CN"/>
        </w:rPr>
      </w:pPr>
      <w:r>
        <w:rPr>
          <w:rFonts w:hint="eastAsia" w:ascii="宋体" w:hAnsi="宋体" w:cs="宋体"/>
          <w:b/>
          <w:sz w:val="24"/>
          <w:szCs w:val="24"/>
          <w:lang w:val="zh-CN"/>
        </w:rPr>
        <w:t>三、</w:t>
      </w:r>
      <w:r>
        <w:rPr>
          <w:rFonts w:hint="eastAsia" w:ascii="宋体" w:hAnsi="宋体" w:cs="宋体"/>
          <w:b/>
          <w:bCs/>
          <w:sz w:val="24"/>
          <w:szCs w:val="24"/>
        </w:rPr>
        <w:t>商务报价响应文件</w:t>
      </w:r>
      <w:r>
        <w:rPr>
          <w:rFonts w:hint="eastAsia" w:ascii="宋体" w:hAnsi="宋体" w:cs="宋体"/>
          <w:b/>
          <w:sz w:val="24"/>
          <w:szCs w:val="24"/>
          <w:lang w:val="zh-CN"/>
        </w:rPr>
        <w:t>（单独装订密封）</w:t>
      </w:r>
    </w:p>
    <w:p w14:paraId="032D6079">
      <w:pPr>
        <w:adjustRightInd w:val="0"/>
        <w:snapToGrid w:val="0"/>
        <w:spacing w:line="440" w:lineRule="exact"/>
        <w:ind w:firstLine="480" w:firstLineChars="200"/>
        <w:jc w:val="left"/>
        <w:rPr>
          <w:rFonts w:hint="eastAsia" w:ascii="宋体" w:hAnsi="宋体" w:cs="宋体"/>
          <w:sz w:val="24"/>
          <w:szCs w:val="24"/>
        </w:rPr>
      </w:pPr>
      <w:r>
        <w:rPr>
          <w:rFonts w:ascii="宋体" w:hAnsi="宋体" w:cs="宋体"/>
          <w:bCs/>
          <w:sz w:val="24"/>
          <w:szCs w:val="24"/>
          <w:lang w:val="zh-CN"/>
        </w:rPr>
        <w:t>1</w:t>
      </w:r>
      <w:r>
        <w:rPr>
          <w:rFonts w:hint="eastAsia" w:ascii="宋体" w:hAnsi="宋体" w:cs="宋体"/>
          <w:bCs/>
          <w:sz w:val="24"/>
          <w:szCs w:val="24"/>
          <w:lang w:val="zh-CN"/>
        </w:rPr>
        <w:t>、</w:t>
      </w:r>
      <w:r>
        <w:rPr>
          <w:rFonts w:hint="eastAsia" w:ascii="宋体" w:hAnsi="宋体" w:cs="宋体"/>
          <w:sz w:val="24"/>
          <w:szCs w:val="24"/>
        </w:rPr>
        <w:t>磋商响应报价总表（格式参见第六章）；</w:t>
      </w:r>
    </w:p>
    <w:p w14:paraId="7EDAC6D0">
      <w:pPr>
        <w:adjustRightInd w:val="0"/>
        <w:snapToGrid w:val="0"/>
        <w:spacing w:line="440" w:lineRule="exact"/>
        <w:ind w:firstLine="480" w:firstLineChars="200"/>
        <w:jc w:val="left"/>
        <w:rPr>
          <w:rFonts w:hint="eastAsia" w:ascii="宋体" w:hAnsi="宋体" w:cs="宋体"/>
          <w:sz w:val="24"/>
          <w:szCs w:val="24"/>
        </w:rPr>
      </w:pPr>
      <w:r>
        <w:rPr>
          <w:rFonts w:hint="eastAsia" w:ascii="宋体" w:hAnsi="宋体" w:cs="宋体"/>
          <w:bCs/>
          <w:sz w:val="24"/>
          <w:szCs w:val="24"/>
          <w:lang w:val="zh-CN"/>
        </w:rPr>
        <w:t>2、</w:t>
      </w:r>
      <w:r>
        <w:rPr>
          <w:rFonts w:hint="eastAsia" w:ascii="宋体" w:hAnsi="宋体" w:cs="宋体"/>
          <w:sz w:val="24"/>
          <w:szCs w:val="24"/>
        </w:rPr>
        <w:t>磋商响应报价明细表（格式自拟）。</w:t>
      </w:r>
    </w:p>
    <w:p w14:paraId="2A0A16FF">
      <w:pPr>
        <w:snapToGrid w:val="0"/>
        <w:spacing w:line="440" w:lineRule="exact"/>
        <w:ind w:firstLine="562" w:firstLineChars="200"/>
        <w:rPr>
          <w:rFonts w:hint="eastAsia" w:ascii="宋体" w:hAnsi="宋体" w:cs="宋体"/>
          <w:b/>
          <w:sz w:val="28"/>
          <w:szCs w:val="28"/>
        </w:rPr>
      </w:pPr>
    </w:p>
    <w:p w14:paraId="602101BC">
      <w:pPr>
        <w:snapToGrid w:val="0"/>
        <w:spacing w:line="520" w:lineRule="exact"/>
        <w:ind w:firstLine="562" w:firstLineChars="200"/>
        <w:rPr>
          <w:rFonts w:hint="eastAsia" w:ascii="宋体" w:hAnsi="宋体" w:cs="宋体"/>
          <w:b/>
          <w:sz w:val="28"/>
          <w:szCs w:val="28"/>
        </w:rPr>
      </w:pPr>
    </w:p>
    <w:p w14:paraId="6D4C85FA">
      <w:pPr>
        <w:snapToGrid w:val="0"/>
        <w:spacing w:line="520" w:lineRule="exact"/>
        <w:ind w:firstLine="562" w:firstLineChars="200"/>
        <w:rPr>
          <w:rFonts w:hint="eastAsia" w:ascii="宋体" w:hAnsi="宋体" w:cs="宋体"/>
          <w:b/>
          <w:sz w:val="28"/>
          <w:szCs w:val="28"/>
        </w:rPr>
      </w:pPr>
    </w:p>
    <w:p w14:paraId="2BBCAB40">
      <w:pPr>
        <w:snapToGrid w:val="0"/>
        <w:spacing w:line="520" w:lineRule="exact"/>
        <w:ind w:firstLine="562" w:firstLineChars="200"/>
        <w:rPr>
          <w:rFonts w:hint="eastAsia" w:ascii="宋体" w:hAnsi="宋体" w:cs="宋体"/>
          <w:b/>
          <w:sz w:val="28"/>
          <w:szCs w:val="28"/>
        </w:rPr>
      </w:pPr>
    </w:p>
    <w:p w14:paraId="00029198">
      <w:pPr>
        <w:snapToGrid w:val="0"/>
        <w:spacing w:line="520" w:lineRule="exact"/>
        <w:ind w:firstLine="562" w:firstLineChars="200"/>
        <w:rPr>
          <w:rFonts w:hint="eastAsia" w:ascii="宋体" w:hAnsi="宋体" w:cs="宋体"/>
          <w:b/>
          <w:sz w:val="28"/>
          <w:szCs w:val="28"/>
        </w:rPr>
      </w:pPr>
    </w:p>
    <w:p w14:paraId="7D981170">
      <w:pPr>
        <w:snapToGrid w:val="0"/>
        <w:spacing w:line="520" w:lineRule="exact"/>
        <w:ind w:firstLine="562" w:firstLineChars="200"/>
        <w:rPr>
          <w:rFonts w:hint="eastAsia" w:ascii="宋体" w:hAnsi="宋体" w:cs="宋体"/>
          <w:b/>
          <w:sz w:val="28"/>
          <w:szCs w:val="28"/>
        </w:rPr>
      </w:pPr>
    </w:p>
    <w:p w14:paraId="4DE1EFBF">
      <w:pPr>
        <w:snapToGrid w:val="0"/>
        <w:spacing w:line="520" w:lineRule="exact"/>
        <w:ind w:firstLine="562" w:firstLineChars="200"/>
        <w:rPr>
          <w:rFonts w:hint="eastAsia" w:ascii="宋体" w:hAnsi="宋体" w:cs="宋体"/>
          <w:b/>
          <w:sz w:val="28"/>
          <w:szCs w:val="28"/>
        </w:rPr>
      </w:pPr>
    </w:p>
    <w:p w14:paraId="6FB755F7">
      <w:pPr>
        <w:snapToGrid w:val="0"/>
        <w:spacing w:line="520" w:lineRule="exact"/>
        <w:ind w:firstLine="562" w:firstLineChars="200"/>
        <w:rPr>
          <w:rFonts w:hint="eastAsia" w:ascii="宋体" w:hAnsi="宋体" w:cs="宋体"/>
          <w:b/>
          <w:sz w:val="28"/>
          <w:szCs w:val="28"/>
        </w:rPr>
      </w:pPr>
    </w:p>
    <w:p w14:paraId="6769CDED">
      <w:pPr>
        <w:snapToGrid w:val="0"/>
        <w:spacing w:line="520" w:lineRule="exact"/>
        <w:ind w:firstLine="562" w:firstLineChars="200"/>
        <w:rPr>
          <w:rFonts w:hint="eastAsia" w:ascii="宋体" w:hAnsi="宋体" w:cs="宋体"/>
          <w:b/>
          <w:sz w:val="28"/>
          <w:szCs w:val="28"/>
        </w:rPr>
      </w:pPr>
    </w:p>
    <w:p w14:paraId="610DFE33">
      <w:pPr>
        <w:snapToGrid w:val="0"/>
        <w:spacing w:line="520" w:lineRule="exact"/>
        <w:ind w:firstLine="562" w:firstLineChars="200"/>
        <w:rPr>
          <w:rFonts w:hint="eastAsia" w:ascii="宋体" w:hAnsi="宋体" w:cs="宋体"/>
          <w:b/>
          <w:sz w:val="28"/>
          <w:szCs w:val="28"/>
        </w:rPr>
      </w:pPr>
    </w:p>
    <w:p w14:paraId="70DDC317">
      <w:pPr>
        <w:snapToGrid w:val="0"/>
        <w:spacing w:line="520" w:lineRule="exact"/>
        <w:ind w:firstLine="562" w:firstLineChars="200"/>
        <w:rPr>
          <w:rFonts w:hint="eastAsia" w:ascii="宋体" w:hAnsi="宋体" w:cs="宋体"/>
          <w:b/>
          <w:sz w:val="28"/>
          <w:szCs w:val="28"/>
        </w:rPr>
      </w:pPr>
    </w:p>
    <w:p w14:paraId="06923E06">
      <w:pPr>
        <w:snapToGrid w:val="0"/>
        <w:spacing w:line="520" w:lineRule="exact"/>
        <w:ind w:firstLine="562" w:firstLineChars="200"/>
        <w:rPr>
          <w:rFonts w:hint="eastAsia" w:ascii="宋体" w:hAnsi="宋体" w:cs="宋体"/>
          <w:b/>
          <w:sz w:val="28"/>
          <w:szCs w:val="28"/>
        </w:rPr>
      </w:pPr>
    </w:p>
    <w:p w14:paraId="3362189D">
      <w:pPr>
        <w:snapToGrid w:val="0"/>
        <w:spacing w:line="520" w:lineRule="exact"/>
        <w:ind w:firstLine="562" w:firstLineChars="200"/>
        <w:rPr>
          <w:rFonts w:hint="eastAsia" w:ascii="宋体" w:hAnsi="宋体" w:cs="宋体"/>
          <w:b/>
          <w:sz w:val="28"/>
          <w:szCs w:val="28"/>
        </w:rPr>
      </w:pPr>
    </w:p>
    <w:p w14:paraId="55570DDC">
      <w:pPr>
        <w:snapToGrid w:val="0"/>
        <w:spacing w:line="520" w:lineRule="exact"/>
        <w:ind w:firstLine="562" w:firstLineChars="200"/>
        <w:rPr>
          <w:rFonts w:hint="eastAsia" w:ascii="宋体" w:hAnsi="宋体" w:cs="宋体"/>
          <w:b/>
          <w:sz w:val="28"/>
          <w:szCs w:val="28"/>
        </w:rPr>
      </w:pPr>
    </w:p>
    <w:p w14:paraId="07BB8E10">
      <w:pPr>
        <w:snapToGrid w:val="0"/>
        <w:spacing w:line="520" w:lineRule="exact"/>
        <w:ind w:firstLine="562" w:firstLineChars="200"/>
        <w:rPr>
          <w:rFonts w:hint="eastAsia" w:ascii="宋体" w:hAnsi="宋体" w:cs="宋体"/>
          <w:b/>
          <w:sz w:val="28"/>
          <w:szCs w:val="28"/>
        </w:rPr>
      </w:pPr>
    </w:p>
    <w:p w14:paraId="4145A6D2">
      <w:pPr>
        <w:snapToGrid w:val="0"/>
        <w:spacing w:line="520" w:lineRule="exact"/>
        <w:ind w:firstLine="562" w:firstLineChars="200"/>
        <w:rPr>
          <w:rFonts w:hint="eastAsia" w:ascii="宋体" w:hAnsi="宋体" w:cs="宋体"/>
          <w:b/>
          <w:sz w:val="28"/>
          <w:szCs w:val="28"/>
        </w:rPr>
      </w:pPr>
    </w:p>
    <w:p w14:paraId="281DAA2C">
      <w:pPr>
        <w:snapToGrid w:val="0"/>
        <w:spacing w:line="520" w:lineRule="exact"/>
        <w:ind w:firstLine="562" w:firstLineChars="200"/>
        <w:rPr>
          <w:rFonts w:hint="eastAsia" w:ascii="宋体" w:hAnsi="宋体" w:cs="宋体"/>
          <w:b/>
          <w:sz w:val="28"/>
          <w:szCs w:val="28"/>
        </w:rPr>
      </w:pPr>
    </w:p>
    <w:p w14:paraId="15161255">
      <w:pPr>
        <w:snapToGrid w:val="0"/>
        <w:spacing w:line="520" w:lineRule="exact"/>
        <w:ind w:firstLine="562" w:firstLineChars="200"/>
        <w:rPr>
          <w:rFonts w:hint="eastAsia" w:ascii="宋体" w:hAnsi="宋体" w:cs="宋体"/>
          <w:b/>
          <w:sz w:val="28"/>
          <w:szCs w:val="28"/>
        </w:rPr>
      </w:pPr>
    </w:p>
    <w:p w14:paraId="0ACA1123">
      <w:pPr>
        <w:snapToGrid w:val="0"/>
        <w:spacing w:line="520" w:lineRule="exact"/>
        <w:ind w:firstLine="562" w:firstLineChars="200"/>
        <w:rPr>
          <w:rFonts w:hint="eastAsia" w:ascii="宋体" w:hAnsi="宋体" w:cs="宋体"/>
          <w:b/>
          <w:sz w:val="28"/>
          <w:szCs w:val="28"/>
        </w:rPr>
      </w:pPr>
    </w:p>
    <w:p w14:paraId="05001F6B">
      <w:pPr>
        <w:snapToGrid w:val="0"/>
        <w:spacing w:line="520" w:lineRule="exact"/>
        <w:ind w:firstLine="562" w:firstLineChars="200"/>
        <w:rPr>
          <w:rFonts w:hint="eastAsia" w:ascii="宋体" w:hAnsi="宋体" w:cs="宋体"/>
          <w:b/>
          <w:sz w:val="28"/>
          <w:szCs w:val="28"/>
        </w:rPr>
      </w:pPr>
    </w:p>
    <w:p w14:paraId="70C20C15">
      <w:pPr>
        <w:snapToGrid w:val="0"/>
        <w:spacing w:line="520" w:lineRule="exact"/>
        <w:ind w:firstLine="562" w:firstLineChars="200"/>
        <w:rPr>
          <w:rFonts w:hint="eastAsia" w:ascii="宋体" w:hAnsi="宋体" w:cs="宋体"/>
          <w:b/>
          <w:sz w:val="28"/>
          <w:szCs w:val="28"/>
        </w:rPr>
      </w:pPr>
    </w:p>
    <w:p w14:paraId="5F567504">
      <w:pPr>
        <w:snapToGrid w:val="0"/>
        <w:spacing w:line="520" w:lineRule="exact"/>
        <w:ind w:firstLine="562" w:firstLineChars="200"/>
        <w:rPr>
          <w:rFonts w:ascii="宋体" w:cs="宋体"/>
          <w:b/>
          <w:bCs/>
          <w:sz w:val="28"/>
          <w:szCs w:val="28"/>
        </w:rPr>
      </w:pPr>
      <w:r>
        <w:rPr>
          <w:rFonts w:hint="eastAsia" w:ascii="宋体" w:hAnsi="宋体" w:cs="宋体"/>
          <w:b/>
          <w:sz w:val="28"/>
          <w:szCs w:val="28"/>
        </w:rPr>
        <w:t>附件：</w:t>
      </w:r>
    </w:p>
    <w:p w14:paraId="12D4102B">
      <w:pPr>
        <w:snapToGrid w:val="0"/>
        <w:spacing w:line="520" w:lineRule="exact"/>
        <w:jc w:val="center"/>
        <w:outlineLvl w:val="3"/>
        <w:rPr>
          <w:rFonts w:ascii="宋体" w:cs="宋体"/>
          <w:b/>
          <w:sz w:val="28"/>
          <w:szCs w:val="28"/>
        </w:rPr>
      </w:pPr>
      <w:r>
        <w:rPr>
          <w:rFonts w:ascii="宋体" w:hAnsi="宋体" w:cs="宋体"/>
          <w:b/>
          <w:sz w:val="28"/>
          <w:szCs w:val="28"/>
        </w:rPr>
        <w:t>1</w:t>
      </w:r>
      <w:r>
        <w:rPr>
          <w:rFonts w:hint="eastAsia" w:ascii="宋体" w:hAnsi="宋体" w:cs="宋体"/>
          <w:b/>
          <w:sz w:val="28"/>
          <w:szCs w:val="28"/>
        </w:rPr>
        <w:t>、法定代表人身份证明</w:t>
      </w:r>
    </w:p>
    <w:p w14:paraId="6C7D02CE">
      <w:pPr>
        <w:snapToGrid w:val="0"/>
        <w:spacing w:line="520" w:lineRule="exact"/>
        <w:jc w:val="center"/>
        <w:rPr>
          <w:rFonts w:ascii="宋体" w:cs="宋体"/>
          <w:sz w:val="24"/>
          <w:szCs w:val="24"/>
        </w:rPr>
      </w:pPr>
      <w:r>
        <w:rPr>
          <w:rFonts w:hint="eastAsia" w:ascii="宋体" w:hAnsi="宋体" w:cs="宋体"/>
          <w:sz w:val="24"/>
          <w:szCs w:val="24"/>
        </w:rPr>
        <w:t>（如法定代表人参加磋商，须出示此证明）</w:t>
      </w:r>
    </w:p>
    <w:p w14:paraId="12E19A17">
      <w:pPr>
        <w:snapToGrid w:val="0"/>
        <w:spacing w:line="520" w:lineRule="exact"/>
        <w:jc w:val="center"/>
        <w:rPr>
          <w:rFonts w:ascii="宋体" w:cs="宋体"/>
          <w:sz w:val="24"/>
          <w:szCs w:val="24"/>
        </w:rPr>
      </w:pPr>
    </w:p>
    <w:p w14:paraId="73E12491">
      <w:pPr>
        <w:snapToGrid w:val="0"/>
        <w:spacing w:line="520" w:lineRule="exact"/>
        <w:jc w:val="left"/>
        <w:rPr>
          <w:rFonts w:ascii="宋体" w:cs="宋体"/>
          <w:sz w:val="24"/>
          <w:szCs w:val="24"/>
          <w:u w:val="single"/>
        </w:rPr>
      </w:pPr>
      <w:r>
        <w:rPr>
          <w:rFonts w:hint="eastAsia" w:ascii="宋体" w:hAnsi="宋体" w:cs="宋体"/>
          <w:sz w:val="24"/>
          <w:szCs w:val="24"/>
          <w:u w:val="single"/>
        </w:rPr>
        <w:t>南通市图书馆</w:t>
      </w:r>
      <w:r>
        <w:rPr>
          <w:rFonts w:ascii="宋体" w:hAnsi="宋体" w:cs="宋体"/>
          <w:sz w:val="24"/>
          <w:szCs w:val="24"/>
          <w:u w:val="single"/>
        </w:rPr>
        <w:t>:</w:t>
      </w:r>
    </w:p>
    <w:p w14:paraId="1F44C211">
      <w:pPr>
        <w:snapToGrid w:val="0"/>
        <w:spacing w:line="520" w:lineRule="exact"/>
        <w:ind w:firstLine="480" w:firstLineChars="200"/>
        <w:rPr>
          <w:rFonts w:ascii="宋体" w:cs="宋体"/>
          <w:sz w:val="24"/>
          <w:szCs w:val="24"/>
        </w:rPr>
      </w:pPr>
      <w:r>
        <w:rPr>
          <w:rFonts w:hint="eastAsia" w:ascii="宋体" w:hAnsi="宋体" w:cs="宋体"/>
          <w:sz w:val="24"/>
          <w:szCs w:val="24"/>
        </w:rPr>
        <w:t>我公司法定代表人</w:t>
      </w:r>
      <w:r>
        <w:rPr>
          <w:rFonts w:ascii="宋体" w:hAnsi="宋体" w:cs="宋体"/>
          <w:sz w:val="24"/>
          <w:szCs w:val="24"/>
          <w:u w:val="single"/>
        </w:rPr>
        <w:t xml:space="preserve">         </w:t>
      </w:r>
      <w:r>
        <w:rPr>
          <w:rFonts w:hint="eastAsia" w:ascii="宋体" w:hAnsi="宋体" w:cs="宋体"/>
          <w:sz w:val="24"/>
          <w:szCs w:val="24"/>
        </w:rPr>
        <w:t>参加贵单位组织的</w:t>
      </w:r>
      <w:r>
        <w:rPr>
          <w:rFonts w:ascii="宋体" w:hAnsi="宋体" w:cs="宋体"/>
          <w:sz w:val="24"/>
          <w:szCs w:val="24"/>
          <w:u w:val="single"/>
        </w:rPr>
        <w:t xml:space="preserve">            </w:t>
      </w:r>
      <w:r>
        <w:rPr>
          <w:rFonts w:hint="eastAsia" w:ascii="宋体" w:hAnsi="宋体" w:cs="宋体"/>
          <w:sz w:val="24"/>
          <w:szCs w:val="24"/>
        </w:rPr>
        <w:t>（竞争性磋商项目名称</w:t>
      </w:r>
      <w:r>
        <w:rPr>
          <w:rFonts w:ascii="宋体" w:hAnsi="宋体" w:cs="宋体"/>
          <w:sz w:val="24"/>
          <w:szCs w:val="24"/>
        </w:rPr>
        <w:t>)</w:t>
      </w:r>
      <w:r>
        <w:rPr>
          <w:rFonts w:hint="eastAsia" w:ascii="宋体" w:hAnsi="宋体" w:cs="宋体"/>
          <w:sz w:val="24"/>
          <w:szCs w:val="24"/>
        </w:rPr>
        <w:t>项目的磋商活动，全权代表我公司处理竞争性磋商的有关事宜。</w:t>
      </w:r>
    </w:p>
    <w:p w14:paraId="2BD5D587">
      <w:pPr>
        <w:snapToGrid w:val="0"/>
        <w:spacing w:line="520" w:lineRule="exact"/>
        <w:rPr>
          <w:rFonts w:ascii="宋体" w:cs="宋体"/>
          <w:sz w:val="24"/>
          <w:szCs w:val="24"/>
        </w:rPr>
      </w:pPr>
    </w:p>
    <w:p w14:paraId="456D5D3B">
      <w:pPr>
        <w:snapToGrid w:val="0"/>
        <w:spacing w:line="520" w:lineRule="exact"/>
        <w:rPr>
          <w:rFonts w:ascii="宋体" w:cs="宋体"/>
          <w:sz w:val="24"/>
          <w:szCs w:val="24"/>
        </w:rPr>
      </w:pPr>
      <w:r>
        <w:rPr>
          <w:rFonts w:hint="eastAsia" w:ascii="宋体" w:hAnsi="宋体" w:cs="宋体"/>
          <w:sz w:val="24"/>
          <w:szCs w:val="24"/>
        </w:rPr>
        <w:t>附：法定代表人情况：</w:t>
      </w:r>
    </w:p>
    <w:p w14:paraId="0F9E7B53">
      <w:pPr>
        <w:snapToGrid w:val="0"/>
        <w:spacing w:line="520" w:lineRule="exact"/>
        <w:rPr>
          <w:rFonts w:ascii="宋体" w:cs="宋体"/>
          <w:sz w:val="24"/>
          <w:szCs w:val="24"/>
          <w:u w:val="single"/>
        </w:rPr>
      </w:pPr>
      <w:r>
        <w:rPr>
          <w:rFonts w:hint="eastAsia" w:ascii="宋体" w:hAnsi="宋体" w:cs="宋体"/>
          <w:sz w:val="24"/>
          <w:szCs w:val="24"/>
        </w:rPr>
        <w:t>姓名：</w:t>
      </w:r>
      <w:r>
        <w:rPr>
          <w:rFonts w:ascii="宋体" w:hAnsi="宋体" w:cs="宋体"/>
          <w:sz w:val="24"/>
          <w:szCs w:val="24"/>
          <w:u w:val="single"/>
        </w:rPr>
        <w:t xml:space="preserve">         </w:t>
      </w:r>
      <w:r>
        <w:rPr>
          <w:rFonts w:hint="eastAsia" w:ascii="宋体" w:hAnsi="宋体" w:cs="宋体"/>
          <w:sz w:val="24"/>
          <w:szCs w:val="24"/>
        </w:rPr>
        <w:t>性别：</w:t>
      </w:r>
      <w:r>
        <w:rPr>
          <w:rFonts w:ascii="宋体" w:hAnsi="宋体" w:cs="宋体"/>
          <w:sz w:val="24"/>
          <w:szCs w:val="24"/>
          <w:u w:val="single"/>
        </w:rPr>
        <w:t xml:space="preserve">       </w:t>
      </w:r>
      <w:r>
        <w:rPr>
          <w:rFonts w:hint="eastAsia" w:ascii="宋体" w:hAnsi="宋体" w:cs="宋体"/>
          <w:sz w:val="24"/>
          <w:szCs w:val="24"/>
        </w:rPr>
        <w:t>年龄：</w:t>
      </w:r>
      <w:r>
        <w:rPr>
          <w:rFonts w:ascii="宋体" w:hAnsi="宋体" w:cs="宋体"/>
          <w:sz w:val="24"/>
          <w:szCs w:val="24"/>
          <w:u w:val="single"/>
        </w:rPr>
        <w:t xml:space="preserve">      </w:t>
      </w:r>
      <w:r>
        <w:rPr>
          <w:rFonts w:hint="eastAsia" w:ascii="宋体" w:hAnsi="宋体" w:cs="宋体"/>
          <w:sz w:val="24"/>
          <w:szCs w:val="24"/>
        </w:rPr>
        <w:t>职务：</w:t>
      </w:r>
      <w:r>
        <w:rPr>
          <w:rFonts w:ascii="宋体" w:hAnsi="宋体" w:cs="宋体"/>
          <w:sz w:val="24"/>
          <w:szCs w:val="24"/>
          <w:u w:val="single"/>
        </w:rPr>
        <w:t xml:space="preserve">          </w:t>
      </w:r>
    </w:p>
    <w:p w14:paraId="4DEDDF4A">
      <w:pPr>
        <w:snapToGrid w:val="0"/>
        <w:spacing w:line="520" w:lineRule="exact"/>
        <w:rPr>
          <w:rFonts w:ascii="宋体" w:cs="宋体"/>
          <w:sz w:val="24"/>
          <w:szCs w:val="24"/>
        </w:rPr>
      </w:pPr>
      <w:r>
        <w:rPr>
          <w:rFonts w:hint="eastAsia" w:ascii="宋体" w:hAnsi="宋体" w:cs="宋体"/>
          <w:sz w:val="24"/>
          <w:szCs w:val="24"/>
        </w:rPr>
        <w:t>身份证号码：</w:t>
      </w:r>
      <w:r>
        <w:rPr>
          <w:rFonts w:ascii="宋体" w:hAnsi="宋体" w:cs="宋体"/>
          <w:sz w:val="24"/>
          <w:szCs w:val="24"/>
          <w:u w:val="single"/>
        </w:rPr>
        <w:t xml:space="preserve">                       </w:t>
      </w:r>
    </w:p>
    <w:p w14:paraId="399C064E">
      <w:pPr>
        <w:snapToGrid w:val="0"/>
        <w:spacing w:line="520" w:lineRule="exact"/>
        <w:rPr>
          <w:rFonts w:ascii="宋体" w:cs="宋体"/>
          <w:sz w:val="24"/>
          <w:szCs w:val="24"/>
        </w:rPr>
      </w:pPr>
      <w:r>
        <w:rPr>
          <w:rFonts w:hint="eastAsia" w:ascii="宋体" w:hAnsi="宋体" w:cs="宋体"/>
          <w:sz w:val="24"/>
          <w:szCs w:val="24"/>
        </w:rPr>
        <w:t>手机：</w:t>
      </w:r>
      <w:r>
        <w:rPr>
          <w:rFonts w:ascii="宋体" w:hAnsi="宋体" w:cs="宋体"/>
          <w:sz w:val="24"/>
          <w:szCs w:val="24"/>
          <w:u w:val="single"/>
        </w:rPr>
        <w:t xml:space="preserve">                  </w:t>
      </w:r>
      <w:r>
        <w:rPr>
          <w:rFonts w:hint="eastAsia" w:ascii="宋体" w:hAnsi="宋体" w:cs="宋体"/>
          <w:sz w:val="24"/>
          <w:szCs w:val="24"/>
        </w:rPr>
        <w:t>传真：</w:t>
      </w:r>
      <w:r>
        <w:rPr>
          <w:rFonts w:ascii="宋体" w:hAnsi="宋体" w:cs="宋体"/>
          <w:sz w:val="24"/>
          <w:szCs w:val="24"/>
          <w:u w:val="single"/>
        </w:rPr>
        <w:t xml:space="preserve">               </w:t>
      </w:r>
    </w:p>
    <w:p w14:paraId="31AAB1CF">
      <w:pPr>
        <w:snapToGrid w:val="0"/>
        <w:spacing w:line="520" w:lineRule="exact"/>
        <w:rPr>
          <w:rFonts w:ascii="宋体" w:cs="宋体"/>
          <w:sz w:val="24"/>
          <w:szCs w:val="24"/>
        </w:rPr>
      </w:pPr>
    </w:p>
    <w:p w14:paraId="7C741302">
      <w:pPr>
        <w:snapToGrid w:val="0"/>
        <w:spacing w:line="520" w:lineRule="exact"/>
        <w:rPr>
          <w:rFonts w:ascii="宋体" w:cs="宋体"/>
          <w:sz w:val="24"/>
          <w:szCs w:val="24"/>
        </w:rPr>
      </w:pPr>
      <w:r>
        <w:rPr>
          <w:rFonts w:hint="eastAsia" w:ascii="宋体" w:hAnsi="宋体" w:cs="宋体"/>
          <w:sz w:val="24"/>
          <w:szCs w:val="24"/>
        </w:rPr>
        <w:t>单位名称（公章）</w:t>
      </w:r>
      <w:r>
        <w:rPr>
          <w:rFonts w:ascii="宋体" w:hAnsi="宋体" w:cs="宋体"/>
          <w:sz w:val="24"/>
          <w:szCs w:val="24"/>
        </w:rPr>
        <w:t xml:space="preserve">             </w:t>
      </w:r>
      <w:r>
        <w:rPr>
          <w:rFonts w:hint="eastAsia" w:ascii="宋体" w:hAnsi="宋体" w:cs="宋体"/>
          <w:sz w:val="24"/>
          <w:szCs w:val="24"/>
        </w:rPr>
        <w:t>法定代表人（签字或盖章）</w:t>
      </w:r>
    </w:p>
    <w:p w14:paraId="0C0A3881">
      <w:pPr>
        <w:snapToGrid w:val="0"/>
        <w:spacing w:line="520" w:lineRule="exact"/>
        <w:ind w:firstLine="1200" w:firstLineChars="500"/>
        <w:rPr>
          <w:rFonts w:ascii="宋体" w:cs="宋体"/>
          <w:sz w:val="24"/>
          <w:szCs w:val="24"/>
        </w:rPr>
      </w:pP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r>
        <w:rPr>
          <w:rFonts w:ascii="宋体" w:hAnsi="宋体" w:cs="宋体"/>
          <w:sz w:val="24"/>
          <w:szCs w:val="24"/>
        </w:rPr>
        <w:t xml:space="preserve">                 </w:t>
      </w: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r>
        <w:rPr>
          <w:rFonts w:ascii="宋体" w:hAnsi="宋体" w:cs="宋体"/>
          <w:sz w:val="24"/>
          <w:szCs w:val="24"/>
        </w:rPr>
        <w:t xml:space="preserve">  </w:t>
      </w:r>
    </w:p>
    <w:p w14:paraId="7F265B3E">
      <w:pPr>
        <w:snapToGrid w:val="0"/>
        <w:spacing w:line="520" w:lineRule="exact"/>
        <w:rPr>
          <w:rFonts w:ascii="宋体" w:cs="宋体"/>
          <w:sz w:val="24"/>
          <w:szCs w:val="24"/>
        </w:rPr>
      </w:pPr>
    </w:p>
    <w:p w14:paraId="7D874411">
      <w:pPr>
        <w:snapToGrid w:val="0"/>
        <w:spacing w:line="520" w:lineRule="exact"/>
        <w:rPr>
          <w:rFonts w:ascii="宋体" w:cs="宋体"/>
          <w:sz w:val="24"/>
          <w:szCs w:val="24"/>
        </w:rPr>
      </w:pPr>
      <w:r>
        <w:rPr>
          <w:rFonts w:hint="eastAsia" w:ascii="宋体" w:hAnsi="宋体" w:cs="宋体"/>
          <w:sz w:val="24"/>
          <w:szCs w:val="24"/>
        </w:rPr>
        <w:t>法定代表人身份证复印件</w:t>
      </w:r>
    </w:p>
    <w:p w14:paraId="494B4BC4">
      <w:pPr>
        <w:snapToGrid w:val="0"/>
        <w:spacing w:line="520" w:lineRule="exact"/>
        <w:rPr>
          <w:rFonts w:ascii="宋体" w:cs="宋体"/>
          <w:sz w:val="24"/>
          <w:szCs w:val="24"/>
        </w:rPr>
      </w:pPr>
    </w:p>
    <w:p w14:paraId="68A68753">
      <w:pPr>
        <w:snapToGrid w:val="0"/>
        <w:spacing w:line="520" w:lineRule="exact"/>
        <w:ind w:firstLine="2280" w:firstLineChars="950"/>
        <w:rPr>
          <w:rFonts w:ascii="宋体" w:cs="宋体"/>
          <w:sz w:val="24"/>
          <w:szCs w:val="24"/>
        </w:rPr>
      </w:pPr>
      <w:r>
        <w:rPr>
          <w:rFonts w:hint="eastAsia" w:ascii="宋体" w:hAnsi="宋体" w:cs="宋体"/>
          <w:sz w:val="24"/>
          <w:szCs w:val="24"/>
        </w:rPr>
        <w:t>（粘贴此处）</w:t>
      </w:r>
    </w:p>
    <w:p w14:paraId="57A27549">
      <w:pPr>
        <w:snapToGrid w:val="0"/>
        <w:spacing w:line="520" w:lineRule="exact"/>
        <w:ind w:firstLine="482" w:firstLineChars="200"/>
        <w:rPr>
          <w:rFonts w:ascii="宋体" w:cs="宋体"/>
          <w:b/>
          <w:bCs/>
          <w:sz w:val="24"/>
          <w:szCs w:val="24"/>
        </w:rPr>
      </w:pPr>
      <w:r>
        <w:rPr>
          <w:rFonts w:hint="eastAsia" w:ascii="宋体" w:hAnsi="宋体" w:cs="宋体"/>
          <w:b/>
          <w:bCs/>
          <w:sz w:val="24"/>
          <w:szCs w:val="24"/>
        </w:rPr>
        <w:t>注</w:t>
      </w:r>
      <w:r>
        <w:rPr>
          <w:rFonts w:ascii="宋体" w:hAnsi="宋体" w:cs="宋体"/>
          <w:b/>
          <w:bCs/>
          <w:sz w:val="24"/>
          <w:szCs w:val="24"/>
        </w:rPr>
        <w:t>:</w:t>
      </w:r>
      <w:r>
        <w:rPr>
          <w:rFonts w:hint="eastAsia" w:ascii="宋体" w:hAnsi="宋体" w:cs="宋体"/>
          <w:b/>
          <w:bCs/>
          <w:sz w:val="24"/>
          <w:szCs w:val="24"/>
        </w:rPr>
        <w:t>参加磋商时法定代表人将身份证原件带至磋商现场备查。</w:t>
      </w:r>
    </w:p>
    <w:p w14:paraId="0E7A4E36">
      <w:pPr>
        <w:snapToGrid w:val="0"/>
        <w:spacing w:line="520" w:lineRule="exact"/>
        <w:jc w:val="center"/>
        <w:outlineLvl w:val="3"/>
        <w:rPr>
          <w:rFonts w:ascii="宋体" w:cs="宋体"/>
          <w:b/>
          <w:sz w:val="28"/>
          <w:szCs w:val="28"/>
        </w:rPr>
      </w:pPr>
      <w:r>
        <w:rPr>
          <w:rFonts w:ascii="宋体" w:cs="宋体"/>
          <w:b/>
          <w:sz w:val="24"/>
          <w:szCs w:val="24"/>
        </w:rPr>
        <w:br w:type="page"/>
      </w:r>
      <w:r>
        <w:rPr>
          <w:rFonts w:ascii="宋体" w:hAnsi="宋体" w:cs="宋体"/>
          <w:b/>
          <w:sz w:val="28"/>
          <w:szCs w:val="28"/>
        </w:rPr>
        <w:t>2</w:t>
      </w:r>
      <w:r>
        <w:rPr>
          <w:rFonts w:hint="eastAsia" w:ascii="宋体" w:hAnsi="宋体" w:cs="宋体"/>
          <w:b/>
          <w:sz w:val="28"/>
          <w:szCs w:val="28"/>
        </w:rPr>
        <w:t>、授权委托书</w:t>
      </w:r>
    </w:p>
    <w:p w14:paraId="0517152F">
      <w:pPr>
        <w:snapToGrid w:val="0"/>
        <w:spacing w:line="520" w:lineRule="exact"/>
        <w:jc w:val="center"/>
        <w:rPr>
          <w:rFonts w:ascii="宋体" w:cs="宋体"/>
          <w:bCs/>
          <w:sz w:val="24"/>
          <w:szCs w:val="24"/>
        </w:rPr>
      </w:pPr>
      <w:r>
        <w:rPr>
          <w:rFonts w:hint="eastAsia" w:ascii="宋体" w:hAnsi="宋体" w:cs="宋体"/>
          <w:bCs/>
          <w:sz w:val="24"/>
          <w:szCs w:val="24"/>
        </w:rPr>
        <w:t>（如被授权人参加磋商，须出示此证明）</w:t>
      </w:r>
    </w:p>
    <w:p w14:paraId="61945BF4">
      <w:pPr>
        <w:snapToGrid w:val="0"/>
        <w:spacing w:line="520" w:lineRule="exact"/>
        <w:jc w:val="center"/>
        <w:rPr>
          <w:rFonts w:ascii="宋体" w:cs="宋体"/>
          <w:bCs/>
          <w:sz w:val="24"/>
          <w:szCs w:val="24"/>
        </w:rPr>
      </w:pPr>
    </w:p>
    <w:p w14:paraId="13987C1B">
      <w:pPr>
        <w:snapToGrid w:val="0"/>
        <w:spacing w:line="520" w:lineRule="exact"/>
        <w:jc w:val="left"/>
        <w:rPr>
          <w:rFonts w:ascii="宋体" w:cs="宋体"/>
          <w:sz w:val="24"/>
          <w:szCs w:val="24"/>
          <w:u w:val="single"/>
        </w:rPr>
      </w:pPr>
      <w:r>
        <w:rPr>
          <w:rFonts w:hint="eastAsia" w:ascii="宋体" w:hAnsi="宋体" w:cs="宋体"/>
          <w:sz w:val="24"/>
          <w:szCs w:val="24"/>
          <w:u w:val="single"/>
        </w:rPr>
        <w:t>南通市图书馆</w:t>
      </w:r>
      <w:r>
        <w:rPr>
          <w:rFonts w:ascii="宋体" w:hAnsi="宋体" w:cs="宋体"/>
          <w:sz w:val="24"/>
          <w:szCs w:val="24"/>
          <w:u w:val="single"/>
        </w:rPr>
        <w:t>:</w:t>
      </w:r>
    </w:p>
    <w:p w14:paraId="5BDDD0D4">
      <w:pPr>
        <w:snapToGrid w:val="0"/>
        <w:spacing w:line="480" w:lineRule="exact"/>
        <w:ind w:firstLine="480" w:firstLineChars="200"/>
        <w:rPr>
          <w:rFonts w:hint="eastAsia" w:hAnsi="宋体" w:cs="宋体"/>
          <w:sz w:val="24"/>
          <w:szCs w:val="24"/>
        </w:rPr>
      </w:pPr>
      <w:r>
        <w:rPr>
          <w:rFonts w:hint="eastAsia" w:hAnsi="宋体" w:cs="宋体"/>
          <w:sz w:val="24"/>
          <w:szCs w:val="24"/>
        </w:rPr>
        <w:t>兹授权</w:t>
      </w:r>
      <w:r>
        <w:rPr>
          <w:rFonts w:hAnsi="宋体" w:cs="宋体"/>
          <w:sz w:val="24"/>
          <w:szCs w:val="24"/>
          <w:u w:val="single"/>
        </w:rPr>
        <w:t xml:space="preserve">       </w:t>
      </w:r>
      <w:r>
        <w:rPr>
          <w:rFonts w:hint="eastAsia" w:hAnsi="宋体" w:cs="宋体"/>
          <w:sz w:val="24"/>
          <w:szCs w:val="24"/>
          <w:u w:val="single"/>
        </w:rPr>
        <w:t>（</w:t>
      </w:r>
      <w:r>
        <w:rPr>
          <w:rFonts w:hint="eastAsia" w:hAnsi="宋体" w:cs="宋体"/>
          <w:sz w:val="24"/>
          <w:szCs w:val="24"/>
        </w:rPr>
        <w:t>被授权人的姓名）代表我公司参加</w:t>
      </w:r>
      <w:r>
        <w:rPr>
          <w:rFonts w:hAnsi="宋体" w:cs="宋体"/>
          <w:sz w:val="24"/>
          <w:szCs w:val="24"/>
          <w:u w:val="single"/>
        </w:rPr>
        <w:t xml:space="preserve">             </w:t>
      </w:r>
      <w:r>
        <w:rPr>
          <w:rFonts w:hint="eastAsia" w:hAnsi="宋体" w:cs="宋体"/>
          <w:sz w:val="24"/>
          <w:szCs w:val="24"/>
        </w:rPr>
        <w:t>（</w:t>
      </w:r>
      <w:r>
        <w:rPr>
          <w:rFonts w:hint="eastAsia" w:ascii="宋体" w:hAnsi="宋体" w:cs="宋体"/>
          <w:sz w:val="24"/>
          <w:szCs w:val="24"/>
        </w:rPr>
        <w:t>竞争性磋商项目名称</w:t>
      </w:r>
      <w:r>
        <w:rPr>
          <w:rFonts w:hAnsi="宋体" w:cs="宋体"/>
          <w:sz w:val="24"/>
          <w:szCs w:val="24"/>
        </w:rPr>
        <w:t>)</w:t>
      </w:r>
      <w:r>
        <w:rPr>
          <w:rFonts w:hint="eastAsia" w:hAnsi="宋体" w:cs="宋体"/>
          <w:sz w:val="24"/>
          <w:szCs w:val="24"/>
        </w:rPr>
        <w:t>项目的采购活动，全权处理一切与该项目招标有关的事务。其在办理上述事宜过程中所签署的所有文件我公司均予以承认。</w:t>
      </w:r>
    </w:p>
    <w:p w14:paraId="67A1379F">
      <w:pPr>
        <w:pStyle w:val="28"/>
        <w:adjustRightInd w:val="0"/>
        <w:snapToGrid w:val="0"/>
        <w:spacing w:line="500" w:lineRule="exact"/>
        <w:ind w:firstLine="480" w:firstLineChars="200"/>
        <w:jc w:val="left"/>
        <w:rPr>
          <w:rFonts w:hint="eastAsia" w:hAnsi="宋体" w:cs="宋体"/>
          <w:kern w:val="0"/>
          <w:sz w:val="24"/>
          <w:szCs w:val="24"/>
        </w:rPr>
      </w:pPr>
    </w:p>
    <w:p w14:paraId="2EDFAA1A">
      <w:pPr>
        <w:pStyle w:val="28"/>
        <w:adjustRightInd w:val="0"/>
        <w:snapToGrid w:val="0"/>
        <w:spacing w:line="500" w:lineRule="exact"/>
        <w:ind w:firstLine="480" w:firstLineChars="200"/>
        <w:jc w:val="left"/>
        <w:rPr>
          <w:rFonts w:hint="eastAsia" w:hAnsi="宋体" w:cs="宋体"/>
          <w:kern w:val="0"/>
          <w:sz w:val="24"/>
          <w:szCs w:val="24"/>
        </w:rPr>
      </w:pPr>
      <w:r>
        <w:rPr>
          <w:rFonts w:hint="eastAsia" w:hAnsi="宋体" w:cs="宋体"/>
          <w:kern w:val="0"/>
          <w:sz w:val="24"/>
          <w:szCs w:val="24"/>
        </w:rPr>
        <w:t>被授权人无转委托权，特此委托。</w:t>
      </w:r>
    </w:p>
    <w:p w14:paraId="558D6B08">
      <w:pPr>
        <w:pStyle w:val="28"/>
        <w:adjustRightInd w:val="0"/>
        <w:snapToGrid w:val="0"/>
        <w:spacing w:line="500" w:lineRule="exact"/>
        <w:ind w:firstLine="480" w:firstLineChars="200"/>
        <w:jc w:val="left"/>
        <w:rPr>
          <w:rFonts w:hint="eastAsia" w:hAnsi="宋体" w:cs="宋体"/>
          <w:kern w:val="0"/>
          <w:sz w:val="24"/>
          <w:szCs w:val="24"/>
        </w:rPr>
      </w:pPr>
    </w:p>
    <w:p w14:paraId="2D4FE59A">
      <w:pPr>
        <w:spacing w:line="480" w:lineRule="exact"/>
        <w:rPr>
          <w:rFonts w:hint="eastAsia" w:hAnsi="宋体" w:cs="宋体"/>
          <w:sz w:val="24"/>
          <w:szCs w:val="24"/>
        </w:rPr>
      </w:pPr>
      <w:r>
        <w:rPr>
          <w:rFonts w:hint="eastAsia" w:hAnsi="宋体" w:cs="宋体"/>
          <w:sz w:val="24"/>
          <w:szCs w:val="24"/>
        </w:rPr>
        <w:t>附：被授权人情况：</w:t>
      </w:r>
    </w:p>
    <w:p w14:paraId="6D281AA9">
      <w:pPr>
        <w:spacing w:line="480" w:lineRule="exact"/>
        <w:rPr>
          <w:rFonts w:hint="eastAsia" w:hAnsi="宋体" w:cs="宋体"/>
          <w:sz w:val="24"/>
          <w:szCs w:val="24"/>
          <w:u w:val="single"/>
        </w:rPr>
      </w:pPr>
      <w:r>
        <w:rPr>
          <w:rFonts w:hint="eastAsia" w:hAnsi="宋体" w:cs="宋体"/>
          <w:sz w:val="24"/>
          <w:szCs w:val="24"/>
        </w:rPr>
        <w:t>姓名：</w:t>
      </w:r>
      <w:r>
        <w:rPr>
          <w:rFonts w:hAnsi="宋体" w:cs="宋体"/>
          <w:sz w:val="24"/>
          <w:szCs w:val="24"/>
          <w:u w:val="single"/>
        </w:rPr>
        <w:t xml:space="preserve">         </w:t>
      </w:r>
      <w:r>
        <w:rPr>
          <w:rFonts w:hAnsi="宋体" w:cs="宋体"/>
          <w:sz w:val="24"/>
          <w:szCs w:val="24"/>
        </w:rPr>
        <w:t xml:space="preserve"> </w:t>
      </w:r>
      <w:r>
        <w:rPr>
          <w:rFonts w:hint="eastAsia" w:hAnsi="宋体" w:cs="宋体"/>
          <w:sz w:val="24"/>
          <w:szCs w:val="24"/>
        </w:rPr>
        <w:t>性别：</w:t>
      </w:r>
      <w:r>
        <w:rPr>
          <w:rFonts w:hAnsi="宋体" w:cs="宋体"/>
          <w:sz w:val="24"/>
          <w:szCs w:val="24"/>
          <w:u w:val="single"/>
        </w:rPr>
        <w:t xml:space="preserve">    </w:t>
      </w:r>
      <w:r>
        <w:rPr>
          <w:rFonts w:hint="eastAsia" w:hAnsi="宋体" w:cs="宋体"/>
          <w:sz w:val="24"/>
          <w:szCs w:val="24"/>
        </w:rPr>
        <w:t>年龄：</w:t>
      </w:r>
      <w:r>
        <w:rPr>
          <w:rFonts w:hAnsi="宋体" w:cs="宋体"/>
          <w:sz w:val="24"/>
          <w:szCs w:val="24"/>
          <w:u w:val="single"/>
        </w:rPr>
        <w:t xml:space="preserve">      </w:t>
      </w:r>
      <w:r>
        <w:rPr>
          <w:rFonts w:hint="eastAsia" w:hAnsi="宋体" w:cs="宋体"/>
          <w:sz w:val="24"/>
          <w:szCs w:val="24"/>
        </w:rPr>
        <w:t>职务：</w:t>
      </w:r>
      <w:r>
        <w:rPr>
          <w:rFonts w:hAnsi="宋体" w:cs="宋体"/>
          <w:sz w:val="24"/>
          <w:szCs w:val="24"/>
          <w:u w:val="single"/>
        </w:rPr>
        <w:t xml:space="preserve">          </w:t>
      </w:r>
    </w:p>
    <w:p w14:paraId="3693BDCE">
      <w:pPr>
        <w:spacing w:line="480" w:lineRule="exact"/>
        <w:rPr>
          <w:rFonts w:hint="eastAsia" w:hAnsi="宋体" w:cs="宋体"/>
          <w:sz w:val="24"/>
          <w:szCs w:val="24"/>
        </w:rPr>
      </w:pPr>
      <w:r>
        <w:rPr>
          <w:rFonts w:hint="eastAsia" w:hAnsi="宋体" w:cs="宋体"/>
          <w:sz w:val="24"/>
          <w:szCs w:val="24"/>
        </w:rPr>
        <w:t>身份证号码：</w:t>
      </w:r>
      <w:r>
        <w:rPr>
          <w:rFonts w:hAnsi="宋体" w:cs="宋体"/>
          <w:sz w:val="24"/>
          <w:szCs w:val="24"/>
          <w:u w:val="single"/>
        </w:rPr>
        <w:t xml:space="preserve">                                          </w:t>
      </w:r>
    </w:p>
    <w:p w14:paraId="5CE55DC7">
      <w:pPr>
        <w:spacing w:line="480" w:lineRule="exact"/>
        <w:rPr>
          <w:rFonts w:hint="eastAsia" w:hAnsi="宋体" w:cs="宋体"/>
          <w:sz w:val="24"/>
          <w:szCs w:val="24"/>
        </w:rPr>
      </w:pPr>
      <w:r>
        <w:rPr>
          <w:rFonts w:hint="eastAsia" w:hAnsi="宋体" w:cs="宋体"/>
          <w:sz w:val="24"/>
          <w:szCs w:val="24"/>
        </w:rPr>
        <w:t>手机：</w:t>
      </w:r>
      <w:r>
        <w:rPr>
          <w:rFonts w:hAnsi="宋体" w:cs="宋体"/>
          <w:sz w:val="24"/>
          <w:szCs w:val="24"/>
          <w:u w:val="single"/>
        </w:rPr>
        <w:t xml:space="preserve">                 </w:t>
      </w:r>
      <w:r>
        <w:rPr>
          <w:rFonts w:hint="eastAsia" w:hAnsi="宋体" w:cs="宋体"/>
          <w:sz w:val="24"/>
          <w:szCs w:val="24"/>
        </w:rPr>
        <w:t>传真：</w:t>
      </w:r>
      <w:r>
        <w:rPr>
          <w:rFonts w:hAnsi="宋体" w:cs="宋体"/>
          <w:sz w:val="24"/>
          <w:szCs w:val="24"/>
          <w:u w:val="single"/>
        </w:rPr>
        <w:t xml:space="preserve">                        </w:t>
      </w:r>
      <w:r>
        <w:rPr>
          <w:rFonts w:hAnsi="宋体" w:cs="宋体"/>
          <w:sz w:val="24"/>
          <w:szCs w:val="24"/>
        </w:rPr>
        <w:t xml:space="preserve"> </w:t>
      </w:r>
    </w:p>
    <w:p w14:paraId="664B823E">
      <w:pPr>
        <w:spacing w:line="480" w:lineRule="exact"/>
        <w:rPr>
          <w:rFonts w:hint="eastAsia" w:hAnsi="宋体" w:cs="宋体"/>
          <w:sz w:val="24"/>
          <w:szCs w:val="24"/>
        </w:rPr>
      </w:pPr>
    </w:p>
    <w:p w14:paraId="79D07463">
      <w:pPr>
        <w:spacing w:line="480" w:lineRule="exact"/>
        <w:rPr>
          <w:rFonts w:hint="eastAsia" w:hAnsi="宋体" w:cs="宋体"/>
          <w:sz w:val="24"/>
          <w:szCs w:val="24"/>
        </w:rPr>
      </w:pPr>
    </w:p>
    <w:p w14:paraId="4D0E016F">
      <w:pPr>
        <w:spacing w:line="480" w:lineRule="exact"/>
        <w:rPr>
          <w:rFonts w:hint="eastAsia" w:hAnsi="宋体" w:cs="宋体"/>
          <w:sz w:val="24"/>
          <w:szCs w:val="24"/>
        </w:rPr>
      </w:pPr>
      <w:r>
        <w:rPr>
          <w:rFonts w:hint="eastAsia" w:hAnsi="宋体" w:cs="宋体"/>
          <w:sz w:val="24"/>
          <w:szCs w:val="24"/>
        </w:rPr>
        <w:t>单位名称（公章）</w:t>
      </w:r>
      <w:r>
        <w:rPr>
          <w:rFonts w:hAnsi="宋体" w:cs="宋体"/>
          <w:sz w:val="24"/>
          <w:szCs w:val="24"/>
        </w:rPr>
        <w:t xml:space="preserve">             </w:t>
      </w:r>
      <w:r>
        <w:rPr>
          <w:rFonts w:hint="eastAsia" w:hAnsi="宋体" w:cs="宋体"/>
          <w:sz w:val="24"/>
          <w:szCs w:val="24"/>
        </w:rPr>
        <w:t>法定代表人（签字或盖章）</w:t>
      </w:r>
    </w:p>
    <w:p w14:paraId="2D59E8C0">
      <w:pPr>
        <w:spacing w:line="480" w:lineRule="exact"/>
        <w:ind w:firstLine="1200" w:firstLineChars="500"/>
        <w:rPr>
          <w:rFonts w:hint="eastAsia" w:hAnsi="宋体" w:cs="宋体"/>
          <w:sz w:val="24"/>
          <w:szCs w:val="24"/>
        </w:rPr>
      </w:pPr>
      <w:r>
        <w:rPr>
          <w:rFonts w:hint="eastAsia" w:hAnsi="宋体" w:cs="宋体"/>
          <w:sz w:val="24"/>
          <w:szCs w:val="24"/>
        </w:rPr>
        <w:t>年</w:t>
      </w:r>
      <w:r>
        <w:rPr>
          <w:rFonts w:hAnsi="宋体" w:cs="宋体"/>
          <w:sz w:val="24"/>
          <w:szCs w:val="24"/>
        </w:rPr>
        <w:t xml:space="preserve">   </w:t>
      </w:r>
      <w:r>
        <w:rPr>
          <w:rFonts w:hint="eastAsia" w:hAnsi="宋体" w:cs="宋体"/>
          <w:sz w:val="24"/>
          <w:szCs w:val="24"/>
        </w:rPr>
        <w:t>月</w:t>
      </w:r>
      <w:r>
        <w:rPr>
          <w:rFonts w:hAnsi="宋体" w:cs="宋体"/>
          <w:sz w:val="24"/>
          <w:szCs w:val="24"/>
        </w:rPr>
        <w:t xml:space="preserve">   </w:t>
      </w:r>
      <w:r>
        <w:rPr>
          <w:rFonts w:hint="eastAsia" w:hAnsi="宋体" w:cs="宋体"/>
          <w:sz w:val="24"/>
          <w:szCs w:val="24"/>
        </w:rPr>
        <w:t>日</w:t>
      </w:r>
      <w:r>
        <w:rPr>
          <w:rFonts w:hAnsi="宋体" w:cs="宋体"/>
          <w:sz w:val="24"/>
          <w:szCs w:val="24"/>
        </w:rPr>
        <w:t xml:space="preserve">                 </w:t>
      </w:r>
      <w:r>
        <w:rPr>
          <w:rFonts w:hint="eastAsia" w:hAnsi="宋体" w:cs="宋体"/>
          <w:sz w:val="24"/>
          <w:szCs w:val="24"/>
        </w:rPr>
        <w:t>年</w:t>
      </w:r>
      <w:r>
        <w:rPr>
          <w:rFonts w:hAnsi="宋体" w:cs="宋体"/>
          <w:sz w:val="24"/>
          <w:szCs w:val="24"/>
        </w:rPr>
        <w:t xml:space="preserve">   </w:t>
      </w:r>
      <w:r>
        <w:rPr>
          <w:rFonts w:hint="eastAsia" w:hAnsi="宋体" w:cs="宋体"/>
          <w:sz w:val="24"/>
          <w:szCs w:val="24"/>
        </w:rPr>
        <w:t>月</w:t>
      </w:r>
      <w:r>
        <w:rPr>
          <w:rFonts w:hAnsi="宋体" w:cs="宋体"/>
          <w:sz w:val="24"/>
          <w:szCs w:val="24"/>
        </w:rPr>
        <w:t xml:space="preserve">    </w:t>
      </w:r>
      <w:r>
        <w:rPr>
          <w:rFonts w:hint="eastAsia" w:hAnsi="宋体" w:cs="宋体"/>
          <w:sz w:val="24"/>
          <w:szCs w:val="24"/>
        </w:rPr>
        <w:t>日</w:t>
      </w:r>
      <w:r>
        <w:rPr>
          <w:rFonts w:hAnsi="宋体" w:cs="宋体"/>
          <w:sz w:val="24"/>
          <w:szCs w:val="24"/>
        </w:rPr>
        <w:t xml:space="preserve">  </w:t>
      </w:r>
    </w:p>
    <w:p w14:paraId="6D42D707">
      <w:pPr>
        <w:snapToGrid w:val="0"/>
        <w:spacing w:line="520" w:lineRule="exact"/>
        <w:ind w:firstLine="2469" w:firstLineChars="1029"/>
        <w:rPr>
          <w:rFonts w:hint="eastAsia" w:hAnsi="宋体" w:cs="宋体"/>
          <w:sz w:val="24"/>
          <w:szCs w:val="24"/>
        </w:rPr>
      </w:pPr>
    </w:p>
    <w:p w14:paraId="38401A1C">
      <w:pPr>
        <w:snapToGrid w:val="0"/>
        <w:spacing w:line="520" w:lineRule="exact"/>
        <w:ind w:firstLine="2469" w:firstLineChars="1029"/>
        <w:rPr>
          <w:rFonts w:hint="eastAsia" w:hAnsi="宋体" w:cs="宋体"/>
          <w:sz w:val="24"/>
          <w:szCs w:val="24"/>
        </w:rPr>
      </w:pPr>
    </w:p>
    <w:p w14:paraId="0E3673AD">
      <w:pPr>
        <w:snapToGrid w:val="0"/>
        <w:spacing w:line="520" w:lineRule="exact"/>
        <w:ind w:firstLine="2469" w:firstLineChars="1029"/>
        <w:rPr>
          <w:rFonts w:hint="eastAsia" w:hAnsi="宋体"/>
          <w:sz w:val="24"/>
          <w:szCs w:val="24"/>
        </w:rPr>
      </w:pPr>
      <w:r>
        <w:rPr>
          <w:rFonts w:hint="eastAsia" w:hAnsi="宋体" w:cs="宋体"/>
          <w:sz w:val="24"/>
          <w:szCs w:val="24"/>
        </w:rPr>
        <w:t>法定代表人身份证复印件</w:t>
      </w:r>
    </w:p>
    <w:p w14:paraId="5A005C9B">
      <w:pPr>
        <w:snapToGrid w:val="0"/>
        <w:spacing w:line="520" w:lineRule="exact"/>
        <w:ind w:firstLine="2985" w:firstLineChars="1244"/>
        <w:rPr>
          <w:rFonts w:hint="eastAsia" w:hAnsi="宋体"/>
          <w:sz w:val="24"/>
          <w:szCs w:val="24"/>
        </w:rPr>
      </w:pPr>
      <w:r>
        <w:rPr>
          <w:rFonts w:hint="eastAsia" w:hAnsi="宋体" w:cs="宋体"/>
          <w:sz w:val="24"/>
          <w:szCs w:val="24"/>
        </w:rPr>
        <w:t>（粘贴此处）</w:t>
      </w:r>
    </w:p>
    <w:p w14:paraId="5AED9F51">
      <w:pPr>
        <w:spacing w:line="480" w:lineRule="exact"/>
        <w:rPr>
          <w:rFonts w:hint="eastAsia" w:hAnsi="宋体"/>
          <w:sz w:val="24"/>
          <w:szCs w:val="24"/>
        </w:rPr>
      </w:pPr>
    </w:p>
    <w:p w14:paraId="6905CDAD">
      <w:pPr>
        <w:spacing w:line="480" w:lineRule="exact"/>
        <w:ind w:firstLine="2469" w:firstLineChars="1029"/>
        <w:rPr>
          <w:rFonts w:hint="eastAsia" w:hAnsi="宋体"/>
          <w:sz w:val="24"/>
          <w:szCs w:val="24"/>
        </w:rPr>
      </w:pPr>
      <w:r>
        <w:rPr>
          <w:rFonts w:hint="eastAsia" w:hAnsi="宋体" w:cs="宋体"/>
          <w:sz w:val="24"/>
          <w:szCs w:val="24"/>
        </w:rPr>
        <w:t>被授权人身份证复印件</w:t>
      </w:r>
    </w:p>
    <w:p w14:paraId="1EB04B3A">
      <w:pPr>
        <w:spacing w:line="480" w:lineRule="exact"/>
        <w:ind w:firstLine="3103" w:firstLineChars="1293"/>
        <w:rPr>
          <w:rFonts w:hint="eastAsia" w:hAnsi="宋体"/>
          <w:sz w:val="24"/>
          <w:szCs w:val="24"/>
        </w:rPr>
      </w:pPr>
      <w:r>
        <w:rPr>
          <w:rFonts w:hint="eastAsia" w:hAnsi="宋体" w:cs="宋体"/>
          <w:sz w:val="24"/>
          <w:szCs w:val="24"/>
        </w:rPr>
        <w:t>（粘贴此处）</w:t>
      </w:r>
    </w:p>
    <w:p w14:paraId="6C42C0B1">
      <w:pPr>
        <w:spacing w:line="480" w:lineRule="exact"/>
        <w:ind w:firstLine="482" w:firstLineChars="200"/>
        <w:rPr>
          <w:rFonts w:hint="eastAsia" w:hAnsi="宋体" w:cs="宋体"/>
          <w:b/>
          <w:bCs/>
          <w:sz w:val="24"/>
          <w:szCs w:val="24"/>
        </w:rPr>
      </w:pPr>
    </w:p>
    <w:p w14:paraId="57E73139">
      <w:pPr>
        <w:spacing w:line="480" w:lineRule="exact"/>
        <w:ind w:firstLine="482" w:firstLineChars="200"/>
        <w:rPr>
          <w:rFonts w:hint="eastAsia" w:hAnsi="宋体" w:cs="宋体"/>
          <w:b/>
          <w:bCs/>
          <w:sz w:val="24"/>
          <w:szCs w:val="24"/>
        </w:rPr>
      </w:pPr>
      <w:r>
        <w:rPr>
          <w:rFonts w:hint="eastAsia" w:hAnsi="宋体" w:cs="宋体"/>
          <w:b/>
          <w:bCs/>
          <w:sz w:val="24"/>
          <w:szCs w:val="24"/>
        </w:rPr>
        <w:t>注</w:t>
      </w:r>
      <w:r>
        <w:rPr>
          <w:rFonts w:hAnsi="宋体" w:cs="宋体"/>
          <w:b/>
          <w:bCs/>
          <w:sz w:val="24"/>
          <w:szCs w:val="24"/>
        </w:rPr>
        <w:t>:</w:t>
      </w:r>
      <w:r>
        <w:rPr>
          <w:rFonts w:hint="eastAsia" w:hAnsi="宋体" w:cs="宋体"/>
          <w:b/>
          <w:bCs/>
          <w:sz w:val="24"/>
          <w:szCs w:val="24"/>
        </w:rPr>
        <w:t>参加磋商时被授权人将身份证原件带至磋商现场备查。</w:t>
      </w:r>
    </w:p>
    <w:p w14:paraId="5B583956">
      <w:pPr>
        <w:jc w:val="center"/>
        <w:rPr>
          <w:rFonts w:ascii="宋体" w:cs="宋体"/>
          <w:b/>
          <w:sz w:val="24"/>
          <w:szCs w:val="24"/>
        </w:rPr>
      </w:pPr>
      <w:r>
        <w:rPr>
          <w:rFonts w:ascii="宋体" w:cs="宋体"/>
          <w:b/>
          <w:sz w:val="24"/>
          <w:szCs w:val="24"/>
        </w:rPr>
        <w:br w:type="page"/>
      </w:r>
    </w:p>
    <w:p w14:paraId="629C8C14">
      <w:pPr>
        <w:jc w:val="center"/>
        <w:rPr>
          <w:rFonts w:ascii="宋体" w:cs="宋体"/>
          <w:b/>
          <w:sz w:val="24"/>
          <w:szCs w:val="24"/>
        </w:rPr>
      </w:pPr>
    </w:p>
    <w:p w14:paraId="2AB6D46D">
      <w:pPr>
        <w:jc w:val="center"/>
        <w:rPr>
          <w:rFonts w:hint="eastAsia" w:ascii="仿宋" w:hAnsi="仿宋" w:eastAsia="仿宋"/>
          <w:b/>
          <w:sz w:val="32"/>
          <w:szCs w:val="32"/>
        </w:rPr>
      </w:pPr>
      <w:r>
        <w:rPr>
          <w:rFonts w:ascii="宋体" w:hAnsi="宋体" w:cs="宋体"/>
          <w:b/>
          <w:sz w:val="28"/>
          <w:szCs w:val="28"/>
        </w:rPr>
        <w:t>3</w:t>
      </w:r>
      <w:r>
        <w:rPr>
          <w:rFonts w:hint="eastAsia" w:ascii="宋体" w:hAnsi="宋体" w:cs="宋体"/>
          <w:b/>
          <w:sz w:val="28"/>
          <w:szCs w:val="28"/>
        </w:rPr>
        <w:t>、投标人符合本项目供应商资格要求中“本项目的基本资格要求”规定条件的承诺函</w:t>
      </w:r>
    </w:p>
    <w:p w14:paraId="4300286C">
      <w:pPr>
        <w:spacing w:line="460" w:lineRule="exact"/>
        <w:rPr>
          <w:rFonts w:hint="eastAsia" w:ascii="仿宋" w:hAnsi="仿宋" w:eastAsia="仿宋"/>
          <w:b/>
          <w:bCs/>
          <w:sz w:val="44"/>
          <w:szCs w:val="44"/>
        </w:rPr>
      </w:pPr>
    </w:p>
    <w:p w14:paraId="781B945E">
      <w:pPr>
        <w:spacing w:line="500" w:lineRule="exact"/>
        <w:ind w:firstLine="477" w:firstLineChars="199"/>
        <w:rPr>
          <w:rFonts w:hint="eastAsia" w:asciiTheme="majorEastAsia" w:hAnsiTheme="majorEastAsia" w:eastAsiaTheme="majorEastAsia"/>
          <w:b/>
          <w:sz w:val="24"/>
          <w:lang w:val="zh-CN"/>
        </w:rPr>
      </w:pPr>
      <w:r>
        <w:rPr>
          <w:rFonts w:hint="eastAsia" w:asciiTheme="majorEastAsia" w:hAnsiTheme="majorEastAsia" w:eastAsiaTheme="majorEastAsia"/>
          <w:sz w:val="24"/>
          <w:lang w:val="zh-CN"/>
        </w:rPr>
        <w:t>我单位参加</w:t>
      </w:r>
      <w:r>
        <w:rPr>
          <w:rFonts w:hint="eastAsia" w:asciiTheme="majorEastAsia" w:hAnsiTheme="majorEastAsia" w:eastAsiaTheme="majorEastAsia"/>
          <w:sz w:val="24"/>
          <w:u w:val="single"/>
          <w:lang w:val="zh-CN"/>
        </w:rPr>
        <w:t>________________ _</w:t>
      </w:r>
      <w:r>
        <w:rPr>
          <w:rFonts w:hint="eastAsia" w:asciiTheme="majorEastAsia" w:hAnsiTheme="majorEastAsia" w:eastAsiaTheme="majorEastAsia"/>
          <w:sz w:val="24"/>
          <w:lang w:val="zh-CN"/>
        </w:rPr>
        <w:t>（项目名称），</w:t>
      </w:r>
      <w:r>
        <w:rPr>
          <w:rFonts w:hint="eastAsia" w:asciiTheme="majorEastAsia" w:hAnsiTheme="majorEastAsia" w:eastAsiaTheme="majorEastAsia"/>
          <w:sz w:val="24"/>
          <w:u w:val="single"/>
          <w:lang w:val="zh-CN"/>
        </w:rPr>
        <w:t>_______ __________</w:t>
      </w:r>
      <w:r>
        <w:rPr>
          <w:rFonts w:hint="eastAsia" w:asciiTheme="majorEastAsia" w:hAnsiTheme="majorEastAsia" w:eastAsiaTheme="majorEastAsia"/>
          <w:sz w:val="24"/>
          <w:lang w:val="zh-CN"/>
        </w:rPr>
        <w:t>（项目编号）投标活动。针对本项目供应商资格要求中“本项目的基本资格要求”规定做出如下声明：</w:t>
      </w:r>
    </w:p>
    <w:p w14:paraId="5517D1E2">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1.我单位具有独立承担民事责任的能力；</w:t>
      </w:r>
    </w:p>
    <w:p w14:paraId="0DDBAF22">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2.我单位具有良好的商业信誉和健全的财务会计制度；</w:t>
      </w:r>
    </w:p>
    <w:p w14:paraId="3FDA71A2">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3.我单位具有履行合同所必需的设备和专业技术能力；</w:t>
      </w:r>
    </w:p>
    <w:p w14:paraId="3A463C3A">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4.我单位有依法缴纳税收和社会保障资金的良好记录；</w:t>
      </w:r>
    </w:p>
    <w:p w14:paraId="338157E2">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5.我单位参加采购活动前三年内，在经营活动中没有重大违法记录；</w:t>
      </w:r>
    </w:p>
    <w:p w14:paraId="041558A4">
      <w:pPr>
        <w:spacing w:line="500" w:lineRule="exact"/>
        <w:ind w:firstLine="477" w:firstLineChars="199"/>
        <w:rPr>
          <w:rFonts w:hint="eastAsia" w:asciiTheme="majorEastAsia" w:hAnsiTheme="majorEastAsia" w:eastAsiaTheme="majorEastAsia"/>
          <w:sz w:val="24"/>
          <w:lang w:val="zh-CN"/>
        </w:rPr>
      </w:pPr>
      <w:r>
        <w:rPr>
          <w:rFonts w:hint="eastAsia" w:asciiTheme="majorEastAsia" w:hAnsiTheme="majorEastAsia" w:eastAsiaTheme="majorEastAsia"/>
          <w:sz w:val="24"/>
          <w:lang w:val="zh-CN"/>
        </w:rPr>
        <w:t>6.我单位满足法律、行政法规规定的其他条件。</w:t>
      </w:r>
    </w:p>
    <w:p w14:paraId="41F62F65">
      <w:pPr>
        <w:spacing w:line="500" w:lineRule="exact"/>
        <w:ind w:firstLine="482"/>
        <w:rPr>
          <w:rFonts w:hint="eastAsia" w:asciiTheme="majorEastAsia" w:hAnsiTheme="majorEastAsia" w:eastAsiaTheme="majorEastAsia"/>
          <w:sz w:val="24"/>
        </w:rPr>
      </w:pPr>
    </w:p>
    <w:p w14:paraId="1C8508CA">
      <w:pPr>
        <w:spacing w:line="500" w:lineRule="exact"/>
        <w:rPr>
          <w:rFonts w:hint="eastAsia" w:ascii="仿宋" w:hAnsi="仿宋" w:eastAsia="仿宋"/>
          <w:bCs/>
          <w:sz w:val="24"/>
        </w:rPr>
      </w:pPr>
    </w:p>
    <w:p w14:paraId="36AEF1B8">
      <w:pPr>
        <w:spacing w:line="500" w:lineRule="exact"/>
        <w:rPr>
          <w:rFonts w:hint="eastAsia" w:ascii="仿宋" w:hAnsi="仿宋" w:eastAsia="仿宋"/>
          <w:bCs/>
          <w:sz w:val="24"/>
        </w:rPr>
      </w:pPr>
    </w:p>
    <w:p w14:paraId="707BEC7E">
      <w:pPr>
        <w:spacing w:line="500" w:lineRule="exact"/>
        <w:rPr>
          <w:rFonts w:hint="eastAsia" w:ascii="仿宋" w:hAnsi="仿宋" w:eastAsia="仿宋"/>
          <w:bCs/>
          <w:sz w:val="24"/>
        </w:rPr>
      </w:pPr>
    </w:p>
    <w:p w14:paraId="5D2C9702">
      <w:pPr>
        <w:spacing w:line="460" w:lineRule="exact"/>
        <w:ind w:firstLine="477" w:firstLineChars="199"/>
        <w:rPr>
          <w:rFonts w:hint="eastAsia" w:ascii="宋体" w:hAnsi="宋体"/>
          <w:sz w:val="24"/>
          <w:lang w:val="zh-CN"/>
        </w:rPr>
      </w:pPr>
      <w:r>
        <w:rPr>
          <w:rFonts w:hint="eastAsia" w:ascii="仿宋" w:hAnsi="仿宋" w:eastAsia="仿宋"/>
          <w:sz w:val="24"/>
          <w:lang w:val="zh-CN"/>
        </w:rPr>
        <w:t xml:space="preserve">                                             </w:t>
      </w:r>
      <w:r>
        <w:rPr>
          <w:rFonts w:hint="eastAsia" w:ascii="宋体" w:hAnsi="宋体"/>
          <w:sz w:val="24"/>
          <w:lang w:val="zh-CN"/>
        </w:rPr>
        <w:t>承诺人名称（公章）：</w:t>
      </w:r>
    </w:p>
    <w:p w14:paraId="12A9FDAC">
      <w:pPr>
        <w:spacing w:line="460" w:lineRule="exact"/>
        <w:ind w:firstLine="477" w:firstLineChars="199"/>
        <w:rPr>
          <w:rFonts w:hint="eastAsia" w:ascii="宋体" w:hAnsi="宋体"/>
          <w:sz w:val="24"/>
          <w:lang w:val="zh-CN"/>
        </w:rPr>
      </w:pPr>
    </w:p>
    <w:p w14:paraId="1E757013">
      <w:pPr>
        <w:spacing w:line="460" w:lineRule="exact"/>
        <w:ind w:right="840" w:firstLine="5757" w:firstLineChars="2399"/>
        <w:rPr>
          <w:rFonts w:hint="eastAsia" w:asciiTheme="majorEastAsia" w:hAnsiTheme="majorEastAsia" w:eastAsiaTheme="majorEastAsia"/>
          <w:bCs/>
          <w:sz w:val="24"/>
          <w:szCs w:val="24"/>
        </w:rPr>
      </w:pPr>
      <w:r>
        <w:rPr>
          <w:rFonts w:hint="eastAsia" w:ascii="宋体" w:hAnsi="宋体"/>
          <w:sz w:val="24"/>
          <w:lang w:val="zh-CN"/>
        </w:rPr>
        <w:t xml:space="preserve"> 日期：</w:t>
      </w:r>
    </w:p>
    <w:p w14:paraId="1A595269">
      <w:pPr>
        <w:snapToGrid w:val="0"/>
        <w:spacing w:line="520" w:lineRule="exact"/>
        <w:jc w:val="center"/>
        <w:outlineLvl w:val="3"/>
        <w:rPr>
          <w:rFonts w:hint="eastAsia" w:ascii="宋体" w:hAnsi="宋体" w:cs="宋体"/>
          <w:b/>
          <w:sz w:val="28"/>
          <w:szCs w:val="28"/>
        </w:rPr>
      </w:pPr>
    </w:p>
    <w:p w14:paraId="6FBB40E3">
      <w:pPr>
        <w:snapToGrid w:val="0"/>
        <w:spacing w:line="520" w:lineRule="exact"/>
        <w:jc w:val="center"/>
        <w:outlineLvl w:val="3"/>
        <w:rPr>
          <w:rFonts w:hint="eastAsia" w:ascii="宋体" w:hAnsi="宋体" w:cs="宋体"/>
          <w:b/>
          <w:sz w:val="28"/>
          <w:szCs w:val="28"/>
        </w:rPr>
      </w:pPr>
    </w:p>
    <w:p w14:paraId="7DB52DE3">
      <w:pPr>
        <w:snapToGrid w:val="0"/>
        <w:spacing w:line="520" w:lineRule="exact"/>
        <w:jc w:val="center"/>
        <w:outlineLvl w:val="3"/>
        <w:rPr>
          <w:rFonts w:hint="eastAsia" w:ascii="宋体" w:hAnsi="宋体" w:cs="宋体"/>
          <w:b/>
          <w:sz w:val="28"/>
          <w:szCs w:val="28"/>
        </w:rPr>
      </w:pPr>
    </w:p>
    <w:p w14:paraId="2AAE4D2F">
      <w:pPr>
        <w:snapToGrid w:val="0"/>
        <w:spacing w:line="520" w:lineRule="exact"/>
        <w:jc w:val="center"/>
        <w:outlineLvl w:val="3"/>
        <w:rPr>
          <w:rFonts w:hint="eastAsia" w:ascii="宋体" w:hAnsi="宋体" w:cs="宋体"/>
          <w:b/>
          <w:sz w:val="28"/>
          <w:szCs w:val="28"/>
        </w:rPr>
      </w:pPr>
    </w:p>
    <w:p w14:paraId="7BD3D751">
      <w:pPr>
        <w:snapToGrid w:val="0"/>
        <w:spacing w:line="520" w:lineRule="exact"/>
        <w:jc w:val="center"/>
        <w:outlineLvl w:val="3"/>
        <w:rPr>
          <w:rFonts w:hint="eastAsia" w:ascii="宋体" w:hAnsi="宋体" w:cs="宋体"/>
          <w:b/>
          <w:sz w:val="28"/>
          <w:szCs w:val="28"/>
        </w:rPr>
      </w:pPr>
    </w:p>
    <w:p w14:paraId="08F83710">
      <w:pPr>
        <w:snapToGrid w:val="0"/>
        <w:spacing w:line="520" w:lineRule="exact"/>
        <w:jc w:val="center"/>
        <w:outlineLvl w:val="3"/>
        <w:rPr>
          <w:rFonts w:hint="eastAsia" w:ascii="宋体" w:hAnsi="宋体" w:cs="宋体"/>
          <w:b/>
          <w:sz w:val="28"/>
          <w:szCs w:val="28"/>
        </w:rPr>
      </w:pPr>
    </w:p>
    <w:p w14:paraId="3565255F">
      <w:pPr>
        <w:snapToGrid w:val="0"/>
        <w:spacing w:line="520" w:lineRule="exact"/>
        <w:jc w:val="center"/>
        <w:outlineLvl w:val="3"/>
        <w:rPr>
          <w:rFonts w:hint="eastAsia" w:ascii="宋体" w:hAnsi="宋体" w:cs="宋体"/>
          <w:b/>
          <w:sz w:val="28"/>
          <w:szCs w:val="28"/>
        </w:rPr>
      </w:pPr>
    </w:p>
    <w:p w14:paraId="04578F13">
      <w:pPr>
        <w:snapToGrid w:val="0"/>
        <w:spacing w:line="520" w:lineRule="exact"/>
        <w:jc w:val="center"/>
        <w:outlineLvl w:val="3"/>
        <w:rPr>
          <w:rFonts w:ascii="宋体" w:cs="宋体"/>
          <w:b/>
          <w:sz w:val="28"/>
          <w:szCs w:val="28"/>
        </w:rPr>
      </w:pPr>
      <w:r>
        <w:rPr>
          <w:rFonts w:ascii="宋体" w:hAnsi="宋体" w:cs="宋体"/>
          <w:b/>
          <w:sz w:val="28"/>
          <w:szCs w:val="28"/>
        </w:rPr>
        <w:t>4</w:t>
      </w:r>
      <w:r>
        <w:rPr>
          <w:rFonts w:hint="eastAsia" w:ascii="宋体" w:hAnsi="宋体" w:cs="宋体"/>
          <w:b/>
          <w:sz w:val="28"/>
          <w:szCs w:val="28"/>
        </w:rPr>
        <w:t>、关于资格文件的声明函</w:t>
      </w:r>
    </w:p>
    <w:p w14:paraId="2E186C0C">
      <w:pPr>
        <w:snapToGrid w:val="0"/>
        <w:spacing w:line="520" w:lineRule="exact"/>
        <w:jc w:val="left"/>
        <w:rPr>
          <w:rFonts w:ascii="宋体" w:cs="宋体"/>
          <w:sz w:val="24"/>
          <w:szCs w:val="24"/>
          <w:u w:val="single"/>
        </w:rPr>
      </w:pPr>
      <w:r>
        <w:rPr>
          <w:rFonts w:hint="eastAsia" w:ascii="宋体" w:hAnsi="宋体" w:cs="宋体"/>
          <w:sz w:val="24"/>
          <w:szCs w:val="24"/>
          <w:u w:val="single"/>
        </w:rPr>
        <w:t>南通市图书馆</w:t>
      </w:r>
      <w:r>
        <w:rPr>
          <w:rFonts w:ascii="宋体" w:hAnsi="宋体" w:cs="宋体"/>
          <w:sz w:val="24"/>
          <w:szCs w:val="24"/>
          <w:u w:val="single"/>
        </w:rPr>
        <w:t>:</w:t>
      </w:r>
    </w:p>
    <w:p w14:paraId="79F5DF46">
      <w:pPr>
        <w:overflowPunct w:val="0"/>
        <w:adjustRightInd w:val="0"/>
        <w:spacing w:line="520" w:lineRule="exact"/>
        <w:ind w:firstLine="660"/>
        <w:jc w:val="left"/>
        <w:textAlignment w:val="baseline"/>
        <w:rPr>
          <w:rFonts w:ascii="宋体"/>
          <w:sz w:val="24"/>
          <w:szCs w:val="24"/>
        </w:rPr>
      </w:pPr>
      <w:r>
        <w:rPr>
          <w:rFonts w:hint="eastAsia" w:ascii="宋体" w:hAnsi="宋体"/>
          <w:sz w:val="24"/>
          <w:szCs w:val="24"/>
        </w:rPr>
        <w:t>本公司愿就由贵公司组织实施的</w:t>
      </w:r>
      <w:r>
        <w:rPr>
          <w:rFonts w:ascii="宋体" w:hAnsi="宋体"/>
          <w:sz w:val="24"/>
          <w:szCs w:val="24"/>
          <w:u w:val="single"/>
        </w:rPr>
        <w:t xml:space="preserve">    </w:t>
      </w:r>
      <w:r>
        <w:rPr>
          <w:rFonts w:hint="eastAsia" w:ascii="宋体" w:hAnsi="宋体"/>
          <w:sz w:val="24"/>
          <w:szCs w:val="24"/>
          <w:u w:val="single"/>
        </w:rPr>
        <w:t>（项目名称）</w:t>
      </w:r>
      <w:r>
        <w:rPr>
          <w:rFonts w:ascii="宋体" w:hAnsi="宋体"/>
          <w:sz w:val="24"/>
          <w:szCs w:val="24"/>
          <w:u w:val="single"/>
        </w:rPr>
        <w:t xml:space="preserve">     </w:t>
      </w:r>
      <w:r>
        <w:rPr>
          <w:rFonts w:hint="eastAsia" w:ascii="宋体" w:hAnsi="宋体"/>
          <w:sz w:val="24"/>
          <w:szCs w:val="24"/>
        </w:rPr>
        <w:t>的活动参与磋商。本公司所提交的磋商响应文件中所有关于投标资格的文件、证明和陈述均是真实的、准确的。若与真实情况不符，本公司愿意承担由此而产生的一切后果。</w:t>
      </w:r>
    </w:p>
    <w:p w14:paraId="6883753E">
      <w:pPr>
        <w:overflowPunct w:val="0"/>
        <w:adjustRightInd w:val="0"/>
        <w:spacing w:line="520" w:lineRule="exact"/>
        <w:ind w:firstLine="420"/>
        <w:jc w:val="right"/>
        <w:textAlignment w:val="baseline"/>
        <w:rPr>
          <w:rFonts w:ascii="宋体"/>
          <w:sz w:val="24"/>
          <w:szCs w:val="24"/>
        </w:rPr>
      </w:pPr>
    </w:p>
    <w:p w14:paraId="1635AC42">
      <w:pPr>
        <w:overflowPunct w:val="0"/>
        <w:adjustRightInd w:val="0"/>
        <w:spacing w:line="520" w:lineRule="exact"/>
        <w:ind w:firstLine="420"/>
        <w:jc w:val="right"/>
        <w:textAlignment w:val="baseline"/>
        <w:rPr>
          <w:rFonts w:ascii="宋体"/>
          <w:sz w:val="24"/>
          <w:szCs w:val="24"/>
        </w:rPr>
      </w:pPr>
    </w:p>
    <w:p w14:paraId="241E2690">
      <w:pPr>
        <w:snapToGrid w:val="0"/>
        <w:spacing w:line="520" w:lineRule="exact"/>
        <w:jc w:val="right"/>
        <w:rPr>
          <w:rFonts w:ascii="宋体"/>
          <w:sz w:val="24"/>
          <w:szCs w:val="24"/>
        </w:rPr>
      </w:pPr>
      <w:r>
        <w:rPr>
          <w:rFonts w:hint="eastAsia" w:ascii="宋体" w:hAnsi="宋体" w:cs="宋体"/>
          <w:sz w:val="24"/>
          <w:szCs w:val="24"/>
        </w:rPr>
        <w:t>竞争性磋商响应单位：（加盖公章）</w:t>
      </w:r>
    </w:p>
    <w:p w14:paraId="33BA19D6">
      <w:pPr>
        <w:snapToGrid w:val="0"/>
        <w:spacing w:line="520" w:lineRule="exact"/>
        <w:ind w:firstLine="2400" w:firstLineChars="1000"/>
        <w:jc w:val="right"/>
        <w:rPr>
          <w:rFonts w:ascii="宋体"/>
          <w:sz w:val="24"/>
          <w:szCs w:val="24"/>
        </w:rPr>
      </w:pPr>
      <w:r>
        <w:rPr>
          <w:rFonts w:hint="eastAsia" w:ascii="宋体" w:hAnsi="宋体" w:cs="宋体"/>
          <w:sz w:val="24"/>
          <w:szCs w:val="24"/>
        </w:rPr>
        <w:t>法定代表人或被授权人：（签字或盖章）</w:t>
      </w:r>
    </w:p>
    <w:p w14:paraId="057DF113">
      <w:pPr>
        <w:wordWrap w:val="0"/>
        <w:snapToGrid w:val="0"/>
        <w:spacing w:line="520" w:lineRule="exact"/>
        <w:jc w:val="right"/>
        <w:rPr>
          <w:rFonts w:ascii="宋体"/>
          <w:sz w:val="24"/>
          <w:szCs w:val="24"/>
        </w:rPr>
      </w:pP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4B962092">
      <w:pPr>
        <w:overflowPunct w:val="0"/>
        <w:adjustRightInd w:val="0"/>
        <w:spacing w:line="520" w:lineRule="exact"/>
        <w:ind w:firstLine="420"/>
        <w:jc w:val="right"/>
        <w:textAlignment w:val="baseline"/>
        <w:rPr>
          <w:rFonts w:ascii="宋体"/>
          <w:sz w:val="24"/>
          <w:szCs w:val="24"/>
        </w:rPr>
      </w:pPr>
    </w:p>
    <w:p w14:paraId="596C637E">
      <w:pPr>
        <w:spacing w:line="480" w:lineRule="exact"/>
        <w:ind w:firstLine="482" w:firstLineChars="200"/>
        <w:rPr>
          <w:rFonts w:hint="eastAsia" w:hAnsi="宋体" w:cs="宋体"/>
          <w:b/>
          <w:bCs/>
          <w:sz w:val="24"/>
          <w:szCs w:val="24"/>
        </w:rPr>
      </w:pPr>
    </w:p>
    <w:p w14:paraId="2E31CC8A">
      <w:pPr>
        <w:snapToGrid w:val="0"/>
        <w:spacing w:line="520" w:lineRule="exact"/>
        <w:jc w:val="center"/>
        <w:outlineLvl w:val="3"/>
        <w:rPr>
          <w:rFonts w:ascii="宋体" w:cs="宋体"/>
          <w:b/>
          <w:bCs/>
          <w:sz w:val="28"/>
          <w:szCs w:val="28"/>
        </w:rPr>
      </w:pPr>
      <w:r>
        <w:rPr>
          <w:rFonts w:ascii="宋体" w:cs="宋体"/>
          <w:b/>
          <w:sz w:val="24"/>
          <w:szCs w:val="24"/>
        </w:rPr>
        <w:br w:type="page"/>
      </w:r>
      <w:r>
        <w:rPr>
          <w:rFonts w:ascii="宋体" w:hAnsi="宋体" w:cs="宋体"/>
          <w:b/>
          <w:sz w:val="28"/>
          <w:szCs w:val="28"/>
        </w:rPr>
        <w:t>5</w:t>
      </w:r>
      <w:r>
        <w:rPr>
          <w:rFonts w:hint="eastAsia" w:ascii="宋体" w:hAnsi="宋体" w:cs="宋体"/>
          <w:b/>
          <w:bCs/>
          <w:sz w:val="28"/>
          <w:szCs w:val="28"/>
        </w:rPr>
        <w:t>、竞争性磋商响应函</w:t>
      </w:r>
      <w:r>
        <w:rPr>
          <w:rFonts w:hint="eastAsia" w:ascii="宋体" w:hAnsi="宋体" w:cs="宋体"/>
          <w:bCs/>
          <w:sz w:val="28"/>
          <w:szCs w:val="28"/>
        </w:rPr>
        <w:t>（</w:t>
      </w:r>
      <w:r>
        <w:rPr>
          <w:rFonts w:hint="eastAsia" w:ascii="宋体" w:hAnsi="宋体" w:cs="宋体"/>
          <w:bCs/>
          <w:sz w:val="28"/>
          <w:szCs w:val="28"/>
          <w:u w:val="single"/>
        </w:rPr>
        <w:t>格式不得变动</w:t>
      </w:r>
      <w:r>
        <w:rPr>
          <w:rFonts w:hint="eastAsia" w:ascii="宋体" w:hAnsi="宋体" w:cs="宋体"/>
          <w:bCs/>
          <w:sz w:val="28"/>
          <w:szCs w:val="28"/>
        </w:rPr>
        <w:t>）</w:t>
      </w:r>
    </w:p>
    <w:p w14:paraId="478095F6">
      <w:pPr>
        <w:overflowPunct w:val="0"/>
        <w:adjustRightInd w:val="0"/>
        <w:spacing w:line="520" w:lineRule="exact"/>
        <w:jc w:val="left"/>
        <w:textAlignment w:val="baseline"/>
        <w:rPr>
          <w:rFonts w:ascii="宋体" w:cs="宋体"/>
          <w:sz w:val="24"/>
          <w:szCs w:val="24"/>
          <w:u w:val="single"/>
        </w:rPr>
      </w:pPr>
      <w:r>
        <w:rPr>
          <w:rFonts w:hint="eastAsia" w:ascii="宋体" w:hAnsi="宋体" w:cs="宋体"/>
          <w:sz w:val="24"/>
          <w:szCs w:val="24"/>
          <w:u w:val="single"/>
        </w:rPr>
        <w:t>南通市图书馆：</w:t>
      </w:r>
    </w:p>
    <w:p w14:paraId="2B05D150">
      <w:pPr>
        <w:snapToGrid w:val="0"/>
        <w:spacing w:line="520" w:lineRule="exact"/>
        <w:ind w:firstLine="480" w:firstLineChars="200"/>
        <w:rPr>
          <w:rFonts w:ascii="宋体" w:cs="宋体"/>
          <w:sz w:val="24"/>
          <w:szCs w:val="24"/>
        </w:rPr>
      </w:pPr>
      <w:r>
        <w:rPr>
          <w:rFonts w:hint="eastAsia" w:ascii="宋体" w:hAnsi="宋体" w:cs="宋体"/>
          <w:sz w:val="24"/>
          <w:szCs w:val="24"/>
        </w:rPr>
        <w:t>依据贵单位委托代理机构组织的</w:t>
      </w:r>
      <w:r>
        <w:rPr>
          <w:rFonts w:ascii="宋体" w:hAnsi="宋体" w:cs="宋体"/>
          <w:sz w:val="24"/>
          <w:szCs w:val="24"/>
          <w:u w:val="single"/>
        </w:rPr>
        <w:t xml:space="preserve">               </w:t>
      </w:r>
      <w:r>
        <w:rPr>
          <w:rFonts w:hint="eastAsia" w:ascii="宋体" w:hAnsi="宋体" w:cs="宋体"/>
          <w:sz w:val="24"/>
          <w:szCs w:val="24"/>
        </w:rPr>
        <w:t>（磋商项目名称</w:t>
      </w:r>
      <w:r>
        <w:rPr>
          <w:rFonts w:ascii="宋体" w:hAnsi="宋体" w:cs="宋体"/>
          <w:sz w:val="24"/>
          <w:szCs w:val="24"/>
        </w:rPr>
        <w:t>)</w:t>
      </w:r>
      <w:r>
        <w:rPr>
          <w:rFonts w:hint="eastAsia" w:ascii="宋体" w:hAnsi="宋体" w:cs="宋体"/>
          <w:sz w:val="24"/>
          <w:szCs w:val="24"/>
        </w:rPr>
        <w:t>项目竞争性磋商的邀请，我方授权</w:t>
      </w:r>
      <w:r>
        <w:rPr>
          <w:rFonts w:ascii="宋体" w:hAnsi="宋体" w:cs="宋体"/>
          <w:sz w:val="24"/>
          <w:szCs w:val="24"/>
          <w:u w:val="single"/>
        </w:rPr>
        <w:t xml:space="preserve">    </w:t>
      </w:r>
      <w:r>
        <w:rPr>
          <w:rFonts w:hint="eastAsia" w:ascii="宋体" w:hAnsi="宋体" w:cs="宋体"/>
          <w:sz w:val="24"/>
          <w:szCs w:val="24"/>
          <w:u w:val="single"/>
        </w:rPr>
        <w:t>（姓名）</w:t>
      </w:r>
      <w:r>
        <w:rPr>
          <w:rFonts w:ascii="宋体" w:hAnsi="宋体" w:cs="宋体"/>
          <w:sz w:val="24"/>
          <w:szCs w:val="24"/>
          <w:u w:val="single"/>
        </w:rPr>
        <w:t xml:space="preserve">    </w:t>
      </w:r>
      <w:r>
        <w:rPr>
          <w:rFonts w:hint="eastAsia" w:ascii="宋体" w:hAnsi="宋体" w:cs="宋体"/>
          <w:sz w:val="24"/>
          <w:szCs w:val="24"/>
          <w:u w:val="single"/>
        </w:rPr>
        <w:t>（职务）</w:t>
      </w:r>
      <w:r>
        <w:rPr>
          <w:rFonts w:hint="eastAsia" w:ascii="宋体" w:hAnsi="宋体" w:cs="宋体"/>
          <w:sz w:val="24"/>
          <w:szCs w:val="24"/>
        </w:rPr>
        <w:t>为全权代表参加该项目的磋商工作，全权处理本次竞争性磋商的有关事宜。同时，我公司声明如下：</w:t>
      </w:r>
    </w:p>
    <w:p w14:paraId="193BC6D4">
      <w:pPr>
        <w:snapToGrid w:val="0"/>
        <w:spacing w:line="52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、同意并接受竞争性磋商文件的各项要求，遵守竞争性磋商文件中的各项规定，按竞争性磋商文件的要求提供报价。</w:t>
      </w:r>
    </w:p>
    <w:p w14:paraId="2547618C">
      <w:pPr>
        <w:snapToGrid w:val="0"/>
        <w:spacing w:line="520" w:lineRule="exact"/>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、我公司已经详细阅读了竞争性磋商文件的全部内容，我方已完全清晰理解竞争性磋商文件的要求，不存在任何含糊不清和误解之处，同意放弃对竞争性磋商文件所表述的内容提出异议和质疑的权利。</w:t>
      </w:r>
    </w:p>
    <w:p w14:paraId="3E7609FB">
      <w:pPr>
        <w:snapToGrid w:val="0"/>
        <w:spacing w:line="520" w:lineRule="exact"/>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、我公司已毫无保留地向贵方提供一切所需的证明材料。</w:t>
      </w:r>
    </w:p>
    <w:p w14:paraId="5169BF05">
      <w:pPr>
        <w:snapToGrid w:val="0"/>
        <w:spacing w:line="520" w:lineRule="exact"/>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、我公司承诺在本次磋商响应中提供的一切文件，无论是原件还是复印件均真实有效，绝无任何虚假、伪造和夸大的成份。否则，愿承担相应的后果和法律责任。</w:t>
      </w:r>
    </w:p>
    <w:p w14:paraId="60D1FEAD">
      <w:pPr>
        <w:snapToGrid w:val="0"/>
        <w:spacing w:line="520" w:lineRule="exact"/>
        <w:ind w:firstLine="480" w:firstLineChars="200"/>
        <w:rPr>
          <w:rFonts w:ascii="宋体" w:cs="宋体"/>
          <w:sz w:val="24"/>
          <w:szCs w:val="24"/>
        </w:rPr>
      </w:pPr>
      <w:r>
        <w:rPr>
          <w:rFonts w:ascii="宋体" w:hAnsi="宋体" w:cs="宋体"/>
          <w:sz w:val="24"/>
          <w:szCs w:val="24"/>
        </w:rPr>
        <w:t>5</w:t>
      </w:r>
      <w:r>
        <w:rPr>
          <w:rFonts w:hint="eastAsia" w:ascii="宋体" w:hAnsi="宋体" w:cs="宋体"/>
          <w:sz w:val="24"/>
          <w:szCs w:val="24"/>
        </w:rPr>
        <w:t>、一旦成交，我方承诺无正当理由拒绝签订合同，将被贵方取消成交资格。</w:t>
      </w:r>
    </w:p>
    <w:p w14:paraId="73242735">
      <w:pPr>
        <w:snapToGrid w:val="0"/>
        <w:spacing w:line="520" w:lineRule="exact"/>
        <w:ind w:firstLine="480" w:firstLineChars="200"/>
        <w:rPr>
          <w:rFonts w:hint="eastAsia" w:ascii="宋体" w:hAnsi="宋体" w:cs="宋体"/>
          <w:b/>
          <w:sz w:val="24"/>
          <w:szCs w:val="24"/>
        </w:rPr>
      </w:pPr>
      <w:r>
        <w:rPr>
          <w:rFonts w:ascii="宋体" w:hAnsi="宋体" w:cs="宋体"/>
          <w:sz w:val="24"/>
          <w:szCs w:val="24"/>
        </w:rPr>
        <w:t>6</w:t>
      </w:r>
      <w:r>
        <w:rPr>
          <w:rFonts w:hint="eastAsia" w:ascii="宋体" w:hAnsi="宋体" w:cs="宋体"/>
          <w:sz w:val="24"/>
          <w:szCs w:val="24"/>
        </w:rPr>
        <w:t>、</w:t>
      </w:r>
      <w:r>
        <w:rPr>
          <w:rFonts w:hint="eastAsia" w:ascii="宋体" w:hAnsi="宋体" w:cs="宋体"/>
          <w:b/>
          <w:sz w:val="24"/>
          <w:szCs w:val="24"/>
        </w:rPr>
        <w:t>一旦成交，我方将根据竞争性磋商文件的规定，严格履行合同规定的责任和义务，并保证在竞争性磋商文件中规定的时间期限内完成合同项目。</w:t>
      </w:r>
    </w:p>
    <w:p w14:paraId="4D011FD4">
      <w:pPr>
        <w:snapToGrid w:val="0"/>
        <w:spacing w:line="520" w:lineRule="exact"/>
        <w:ind w:firstLine="480" w:firstLineChars="200"/>
        <w:rPr>
          <w:rFonts w:ascii="宋体" w:cs="宋体"/>
          <w:bCs/>
          <w:sz w:val="24"/>
          <w:szCs w:val="24"/>
        </w:rPr>
      </w:pPr>
      <w:r>
        <w:rPr>
          <w:rFonts w:hint="eastAsia" w:ascii="宋体" w:hAnsi="宋体" w:cs="宋体"/>
          <w:bCs/>
          <w:sz w:val="24"/>
          <w:szCs w:val="24"/>
        </w:rPr>
        <w:t>7、投标有效期为采购人规定的磋商响应文件提交截止时间后六十（60）天。</w:t>
      </w:r>
    </w:p>
    <w:p w14:paraId="3F2EE05B">
      <w:pPr>
        <w:snapToGrid w:val="0"/>
        <w:spacing w:line="520" w:lineRule="exact"/>
        <w:ind w:firstLine="480" w:firstLineChars="200"/>
        <w:rPr>
          <w:rFonts w:ascii="宋体" w:cs="宋体"/>
          <w:sz w:val="24"/>
          <w:szCs w:val="24"/>
        </w:rPr>
      </w:pPr>
    </w:p>
    <w:p w14:paraId="0461E2D2">
      <w:pPr>
        <w:snapToGrid w:val="0"/>
        <w:spacing w:line="520" w:lineRule="exact"/>
        <w:jc w:val="right"/>
        <w:rPr>
          <w:rFonts w:ascii="宋体" w:cs="宋体"/>
          <w:sz w:val="24"/>
          <w:szCs w:val="24"/>
        </w:rPr>
      </w:pPr>
      <w:r>
        <w:rPr>
          <w:rFonts w:hint="eastAsia" w:ascii="宋体" w:hAnsi="宋体" w:cs="宋体"/>
          <w:sz w:val="24"/>
          <w:szCs w:val="24"/>
        </w:rPr>
        <w:t>竞争性磋商响应单位：</w:t>
      </w:r>
      <w:r>
        <w:rPr>
          <w:rFonts w:ascii="宋体" w:hAnsi="宋体" w:cs="宋体"/>
          <w:sz w:val="24"/>
          <w:szCs w:val="24"/>
          <w:u w:val="single"/>
        </w:rPr>
        <w:t xml:space="preserve">                    </w:t>
      </w:r>
      <w:r>
        <w:rPr>
          <w:rFonts w:hint="eastAsia" w:ascii="宋体" w:hAnsi="宋体" w:cs="宋体"/>
          <w:sz w:val="24"/>
          <w:szCs w:val="24"/>
        </w:rPr>
        <w:t>（加盖公章）</w:t>
      </w:r>
    </w:p>
    <w:p w14:paraId="3A474B03">
      <w:pPr>
        <w:snapToGrid w:val="0"/>
        <w:spacing w:line="520" w:lineRule="exact"/>
        <w:ind w:firstLine="2400" w:firstLineChars="1000"/>
        <w:jc w:val="right"/>
        <w:rPr>
          <w:rFonts w:ascii="宋体" w:cs="宋体"/>
          <w:sz w:val="24"/>
          <w:szCs w:val="24"/>
        </w:rPr>
      </w:pPr>
      <w:r>
        <w:rPr>
          <w:rFonts w:hint="eastAsia" w:ascii="宋体" w:hAnsi="宋体" w:cs="宋体"/>
          <w:sz w:val="24"/>
          <w:szCs w:val="24"/>
        </w:rPr>
        <w:t>法定代表人或被授权人：</w:t>
      </w:r>
      <w:r>
        <w:rPr>
          <w:rFonts w:ascii="宋体" w:hAnsi="宋体" w:cs="宋体"/>
          <w:sz w:val="24"/>
          <w:szCs w:val="24"/>
          <w:u w:val="single"/>
        </w:rPr>
        <w:t xml:space="preserve">         </w:t>
      </w:r>
      <w:r>
        <w:rPr>
          <w:rFonts w:hint="eastAsia" w:ascii="宋体" w:hAnsi="宋体" w:cs="宋体"/>
          <w:sz w:val="24"/>
          <w:szCs w:val="24"/>
        </w:rPr>
        <w:t>（签字或盖章）</w:t>
      </w:r>
    </w:p>
    <w:p w14:paraId="5C1578D2">
      <w:pPr>
        <w:snapToGrid w:val="0"/>
        <w:spacing w:line="520" w:lineRule="exact"/>
        <w:jc w:val="right"/>
        <w:rPr>
          <w:rFonts w:ascii="宋体" w:cs="宋体"/>
          <w:sz w:val="24"/>
          <w:szCs w:val="24"/>
        </w:rPr>
      </w:pPr>
      <w:r>
        <w:rPr>
          <w:rFonts w:hint="eastAsia" w:ascii="宋体" w:hAnsi="宋体" w:cs="宋体"/>
          <w:sz w:val="24"/>
          <w:szCs w:val="24"/>
        </w:rPr>
        <w:t>年</w:t>
      </w:r>
      <w:r>
        <w:rPr>
          <w:rFonts w:ascii="宋体" w:hAnsi="宋体" w:cs="宋体"/>
          <w:sz w:val="24"/>
          <w:szCs w:val="24"/>
        </w:rPr>
        <w:t xml:space="preserve">      </w:t>
      </w:r>
      <w:r>
        <w:rPr>
          <w:rFonts w:hint="eastAsia" w:ascii="宋体" w:hAnsi="宋体" w:cs="宋体"/>
          <w:sz w:val="24"/>
          <w:szCs w:val="24"/>
        </w:rPr>
        <w:t>月</w:t>
      </w:r>
      <w:r>
        <w:rPr>
          <w:rFonts w:ascii="宋体" w:hAnsi="宋体" w:cs="宋体"/>
          <w:sz w:val="24"/>
          <w:szCs w:val="24"/>
        </w:rPr>
        <w:t xml:space="preserve">     </w:t>
      </w:r>
      <w:r>
        <w:rPr>
          <w:rFonts w:hint="eastAsia" w:ascii="宋体" w:hAnsi="宋体" w:cs="宋体"/>
          <w:sz w:val="24"/>
          <w:szCs w:val="24"/>
        </w:rPr>
        <w:t>日</w:t>
      </w:r>
    </w:p>
    <w:p w14:paraId="3EC8FC1C">
      <w:pPr>
        <w:snapToGrid w:val="0"/>
        <w:spacing w:line="520" w:lineRule="exact"/>
        <w:jc w:val="center"/>
        <w:outlineLvl w:val="3"/>
        <w:rPr>
          <w:rFonts w:ascii="宋体" w:cs="宋体"/>
          <w:b/>
          <w:sz w:val="28"/>
          <w:szCs w:val="28"/>
        </w:rPr>
      </w:pPr>
    </w:p>
    <w:p w14:paraId="3F7CA69F">
      <w:pPr>
        <w:snapToGrid w:val="0"/>
        <w:spacing w:line="520" w:lineRule="exact"/>
        <w:jc w:val="center"/>
        <w:outlineLvl w:val="3"/>
        <w:rPr>
          <w:rFonts w:ascii="宋体" w:cs="宋体"/>
          <w:b/>
          <w:sz w:val="28"/>
          <w:szCs w:val="28"/>
        </w:rPr>
      </w:pPr>
    </w:p>
    <w:p w14:paraId="2C11038B">
      <w:pPr>
        <w:spacing w:line="480" w:lineRule="exact"/>
        <w:jc w:val="center"/>
        <w:rPr>
          <w:rFonts w:ascii="宋体" w:cs="宋体"/>
          <w:b/>
          <w:sz w:val="28"/>
          <w:szCs w:val="28"/>
        </w:rPr>
      </w:pPr>
      <w:bookmarkStart w:id="101" w:name="_Toc425960671"/>
      <w:r>
        <w:rPr>
          <w:rFonts w:ascii="宋体"/>
          <w:b/>
          <w:bCs/>
          <w:sz w:val="28"/>
          <w:szCs w:val="28"/>
        </w:rPr>
        <w:br w:type="page"/>
      </w:r>
      <w:bookmarkEnd w:id="101"/>
      <w:r>
        <w:rPr>
          <w:rFonts w:ascii="宋体" w:hAnsi="宋体"/>
          <w:b/>
          <w:bCs/>
          <w:sz w:val="28"/>
          <w:szCs w:val="28"/>
        </w:rPr>
        <w:t>6</w:t>
      </w:r>
      <w:r>
        <w:rPr>
          <w:rFonts w:hint="eastAsia" w:ascii="宋体" w:hAnsi="宋体" w:cs="宋体"/>
          <w:b/>
          <w:sz w:val="28"/>
          <w:szCs w:val="28"/>
        </w:rPr>
        <w:t>、供应商一般情况表</w:t>
      </w:r>
    </w:p>
    <w:tbl>
      <w:tblPr>
        <w:tblStyle w:val="57"/>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708"/>
        <w:gridCol w:w="851"/>
        <w:gridCol w:w="849"/>
        <w:gridCol w:w="568"/>
        <w:gridCol w:w="1307"/>
        <w:gridCol w:w="159"/>
        <w:gridCol w:w="1320"/>
        <w:gridCol w:w="758"/>
      </w:tblGrid>
      <w:tr w14:paraId="6C99A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trPr>
        <w:tc>
          <w:tcPr>
            <w:tcW w:w="2235" w:type="dxa"/>
            <w:vAlign w:val="center"/>
          </w:tcPr>
          <w:p w14:paraId="23C1C6E9">
            <w:pPr>
              <w:tabs>
                <w:tab w:val="left" w:pos="993"/>
              </w:tabs>
              <w:spacing w:line="520" w:lineRule="exact"/>
              <w:jc w:val="center"/>
              <w:rPr>
                <w:rFonts w:ascii="宋体" w:cs="宋体"/>
                <w:sz w:val="24"/>
                <w:szCs w:val="24"/>
              </w:rPr>
            </w:pPr>
            <w:r>
              <w:rPr>
                <w:rFonts w:hint="eastAsia" w:ascii="宋体" w:hAnsi="宋体" w:cs="宋体"/>
                <w:sz w:val="24"/>
                <w:szCs w:val="24"/>
              </w:rPr>
              <w:t>企业名称</w:t>
            </w:r>
          </w:p>
        </w:tc>
        <w:tc>
          <w:tcPr>
            <w:tcW w:w="6520" w:type="dxa"/>
            <w:gridSpan w:val="8"/>
          </w:tcPr>
          <w:p w14:paraId="5BF8A332">
            <w:pPr>
              <w:tabs>
                <w:tab w:val="left" w:pos="993"/>
              </w:tabs>
              <w:spacing w:line="520" w:lineRule="exact"/>
              <w:rPr>
                <w:rFonts w:ascii="宋体" w:cs="宋体"/>
                <w:sz w:val="24"/>
                <w:szCs w:val="24"/>
              </w:rPr>
            </w:pPr>
          </w:p>
        </w:tc>
      </w:tr>
      <w:tr w14:paraId="2B852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5E45DA89">
            <w:pPr>
              <w:tabs>
                <w:tab w:val="left" w:pos="993"/>
              </w:tabs>
              <w:spacing w:line="520" w:lineRule="exact"/>
              <w:jc w:val="center"/>
              <w:rPr>
                <w:rFonts w:ascii="宋体" w:cs="宋体"/>
                <w:sz w:val="24"/>
                <w:szCs w:val="24"/>
              </w:rPr>
            </w:pPr>
            <w:r>
              <w:rPr>
                <w:rFonts w:hint="eastAsia" w:ascii="宋体" w:hAnsi="宋体" w:cs="宋体"/>
                <w:sz w:val="24"/>
                <w:szCs w:val="24"/>
              </w:rPr>
              <w:t>总部地址</w:t>
            </w:r>
          </w:p>
        </w:tc>
        <w:tc>
          <w:tcPr>
            <w:tcW w:w="6520" w:type="dxa"/>
            <w:gridSpan w:val="8"/>
          </w:tcPr>
          <w:p w14:paraId="38DDAEBC">
            <w:pPr>
              <w:tabs>
                <w:tab w:val="left" w:pos="993"/>
              </w:tabs>
              <w:spacing w:line="520" w:lineRule="exact"/>
              <w:rPr>
                <w:rFonts w:ascii="宋体" w:cs="宋体"/>
                <w:sz w:val="24"/>
                <w:szCs w:val="24"/>
              </w:rPr>
            </w:pPr>
          </w:p>
        </w:tc>
      </w:tr>
      <w:tr w14:paraId="748E2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2EBD5AC8">
            <w:pPr>
              <w:tabs>
                <w:tab w:val="left" w:pos="993"/>
              </w:tabs>
              <w:spacing w:line="520" w:lineRule="exact"/>
              <w:jc w:val="center"/>
              <w:rPr>
                <w:rFonts w:ascii="宋体" w:cs="宋体"/>
                <w:sz w:val="24"/>
                <w:szCs w:val="24"/>
              </w:rPr>
            </w:pPr>
            <w:r>
              <w:rPr>
                <w:rFonts w:hint="eastAsia" w:ascii="宋体" w:hAnsi="宋体" w:cs="宋体"/>
                <w:sz w:val="24"/>
                <w:szCs w:val="24"/>
              </w:rPr>
              <w:t>分支机构</w:t>
            </w:r>
          </w:p>
        </w:tc>
        <w:tc>
          <w:tcPr>
            <w:tcW w:w="6520" w:type="dxa"/>
            <w:gridSpan w:val="8"/>
          </w:tcPr>
          <w:p w14:paraId="3150670D">
            <w:pPr>
              <w:tabs>
                <w:tab w:val="left" w:pos="993"/>
              </w:tabs>
              <w:spacing w:line="520" w:lineRule="exact"/>
              <w:rPr>
                <w:rFonts w:ascii="宋体" w:cs="宋体"/>
                <w:sz w:val="24"/>
                <w:szCs w:val="24"/>
              </w:rPr>
            </w:pPr>
          </w:p>
        </w:tc>
      </w:tr>
      <w:tr w14:paraId="52D4F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0B86C890">
            <w:pPr>
              <w:tabs>
                <w:tab w:val="left" w:pos="993"/>
              </w:tabs>
              <w:spacing w:line="520" w:lineRule="exact"/>
              <w:jc w:val="center"/>
              <w:rPr>
                <w:rFonts w:ascii="宋体" w:cs="宋体"/>
                <w:sz w:val="24"/>
                <w:szCs w:val="24"/>
              </w:rPr>
            </w:pPr>
            <w:r>
              <w:rPr>
                <w:rFonts w:hint="eastAsia" w:ascii="宋体" w:hAnsi="宋体" w:cs="宋体"/>
                <w:sz w:val="24"/>
                <w:szCs w:val="24"/>
              </w:rPr>
              <w:t>当地代表处地址</w:t>
            </w:r>
          </w:p>
        </w:tc>
        <w:tc>
          <w:tcPr>
            <w:tcW w:w="6520" w:type="dxa"/>
            <w:gridSpan w:val="8"/>
          </w:tcPr>
          <w:p w14:paraId="4CC8EA65">
            <w:pPr>
              <w:tabs>
                <w:tab w:val="left" w:pos="993"/>
              </w:tabs>
              <w:spacing w:line="520" w:lineRule="exact"/>
              <w:rPr>
                <w:rFonts w:ascii="宋体" w:cs="宋体"/>
                <w:sz w:val="24"/>
                <w:szCs w:val="24"/>
              </w:rPr>
            </w:pPr>
          </w:p>
        </w:tc>
      </w:tr>
      <w:tr w14:paraId="5C656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14:paraId="4E892C59">
            <w:pPr>
              <w:tabs>
                <w:tab w:val="left" w:pos="993"/>
              </w:tabs>
              <w:spacing w:line="520" w:lineRule="exact"/>
              <w:jc w:val="center"/>
              <w:rPr>
                <w:rFonts w:ascii="宋体" w:cs="宋体"/>
                <w:sz w:val="24"/>
                <w:szCs w:val="24"/>
              </w:rPr>
            </w:pPr>
            <w:r>
              <w:rPr>
                <w:rFonts w:hint="eastAsia" w:ascii="宋体" w:hAnsi="宋体" w:cs="宋体"/>
                <w:sz w:val="24"/>
                <w:szCs w:val="24"/>
              </w:rPr>
              <w:t>电话</w:t>
            </w:r>
          </w:p>
        </w:tc>
        <w:tc>
          <w:tcPr>
            <w:tcW w:w="2408" w:type="dxa"/>
            <w:gridSpan w:val="3"/>
          </w:tcPr>
          <w:p w14:paraId="7F772BF1">
            <w:pPr>
              <w:tabs>
                <w:tab w:val="left" w:pos="993"/>
              </w:tabs>
              <w:spacing w:line="520" w:lineRule="exact"/>
              <w:rPr>
                <w:rFonts w:ascii="宋体" w:cs="宋体"/>
                <w:sz w:val="24"/>
                <w:szCs w:val="24"/>
              </w:rPr>
            </w:pPr>
          </w:p>
        </w:tc>
        <w:tc>
          <w:tcPr>
            <w:tcW w:w="1875" w:type="dxa"/>
            <w:gridSpan w:val="2"/>
          </w:tcPr>
          <w:p w14:paraId="19DDC60C">
            <w:pPr>
              <w:tabs>
                <w:tab w:val="left" w:pos="993"/>
              </w:tabs>
              <w:spacing w:line="520" w:lineRule="exact"/>
              <w:rPr>
                <w:rFonts w:ascii="宋体" w:cs="宋体"/>
                <w:sz w:val="24"/>
                <w:szCs w:val="24"/>
              </w:rPr>
            </w:pPr>
            <w:r>
              <w:rPr>
                <w:rFonts w:hint="eastAsia" w:ascii="宋体" w:hAnsi="宋体" w:cs="宋体"/>
                <w:sz w:val="24"/>
                <w:szCs w:val="24"/>
              </w:rPr>
              <w:t>联系人</w:t>
            </w:r>
          </w:p>
        </w:tc>
        <w:tc>
          <w:tcPr>
            <w:tcW w:w="2237" w:type="dxa"/>
            <w:gridSpan w:val="3"/>
          </w:tcPr>
          <w:p w14:paraId="6C0379D2">
            <w:pPr>
              <w:tabs>
                <w:tab w:val="left" w:pos="993"/>
              </w:tabs>
              <w:spacing w:line="520" w:lineRule="exact"/>
              <w:rPr>
                <w:rFonts w:ascii="宋体" w:cs="宋体"/>
                <w:sz w:val="24"/>
                <w:szCs w:val="24"/>
              </w:rPr>
            </w:pPr>
          </w:p>
        </w:tc>
      </w:tr>
      <w:tr w14:paraId="13CE6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14:paraId="3948F68E">
            <w:pPr>
              <w:tabs>
                <w:tab w:val="left" w:pos="993"/>
              </w:tabs>
              <w:spacing w:line="520" w:lineRule="exact"/>
              <w:jc w:val="center"/>
              <w:rPr>
                <w:rFonts w:ascii="宋体" w:cs="宋体"/>
                <w:sz w:val="24"/>
                <w:szCs w:val="24"/>
              </w:rPr>
            </w:pPr>
            <w:r>
              <w:rPr>
                <w:rFonts w:hint="eastAsia" w:ascii="宋体" w:hAnsi="宋体" w:cs="宋体"/>
                <w:sz w:val="24"/>
                <w:szCs w:val="24"/>
              </w:rPr>
              <w:t>传真</w:t>
            </w:r>
          </w:p>
        </w:tc>
        <w:tc>
          <w:tcPr>
            <w:tcW w:w="2408" w:type="dxa"/>
            <w:gridSpan w:val="3"/>
          </w:tcPr>
          <w:p w14:paraId="3F2770F7">
            <w:pPr>
              <w:tabs>
                <w:tab w:val="left" w:pos="993"/>
              </w:tabs>
              <w:spacing w:line="520" w:lineRule="exact"/>
              <w:rPr>
                <w:rFonts w:ascii="宋体" w:cs="宋体"/>
                <w:sz w:val="24"/>
                <w:szCs w:val="24"/>
              </w:rPr>
            </w:pPr>
          </w:p>
        </w:tc>
        <w:tc>
          <w:tcPr>
            <w:tcW w:w="1875" w:type="dxa"/>
            <w:gridSpan w:val="2"/>
          </w:tcPr>
          <w:p w14:paraId="6725833A">
            <w:pPr>
              <w:tabs>
                <w:tab w:val="left" w:pos="993"/>
              </w:tabs>
              <w:spacing w:line="520" w:lineRule="exact"/>
              <w:rPr>
                <w:rFonts w:ascii="宋体" w:cs="宋体"/>
                <w:sz w:val="24"/>
                <w:szCs w:val="24"/>
              </w:rPr>
            </w:pPr>
            <w:r>
              <w:rPr>
                <w:rFonts w:hint="eastAsia" w:ascii="宋体" w:hAnsi="宋体" w:cs="宋体"/>
                <w:sz w:val="24"/>
                <w:szCs w:val="24"/>
              </w:rPr>
              <w:t>电子邮件</w:t>
            </w:r>
          </w:p>
        </w:tc>
        <w:tc>
          <w:tcPr>
            <w:tcW w:w="2237" w:type="dxa"/>
            <w:gridSpan w:val="3"/>
          </w:tcPr>
          <w:p w14:paraId="25283D8F">
            <w:pPr>
              <w:tabs>
                <w:tab w:val="left" w:pos="993"/>
              </w:tabs>
              <w:spacing w:line="520" w:lineRule="exact"/>
              <w:rPr>
                <w:rFonts w:ascii="宋体" w:cs="宋体"/>
                <w:sz w:val="24"/>
                <w:szCs w:val="24"/>
              </w:rPr>
            </w:pPr>
          </w:p>
        </w:tc>
      </w:tr>
      <w:tr w14:paraId="0988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14:paraId="70B5D378">
            <w:pPr>
              <w:tabs>
                <w:tab w:val="left" w:pos="993"/>
              </w:tabs>
              <w:spacing w:line="520" w:lineRule="exact"/>
              <w:jc w:val="center"/>
              <w:rPr>
                <w:rFonts w:ascii="宋体" w:cs="宋体"/>
                <w:sz w:val="24"/>
                <w:szCs w:val="24"/>
              </w:rPr>
            </w:pPr>
            <w:r>
              <w:rPr>
                <w:rFonts w:hint="eastAsia" w:ascii="宋体" w:hAnsi="宋体" w:cs="宋体"/>
                <w:sz w:val="24"/>
                <w:szCs w:val="24"/>
              </w:rPr>
              <w:t>注册地</w:t>
            </w:r>
          </w:p>
        </w:tc>
        <w:tc>
          <w:tcPr>
            <w:tcW w:w="2408" w:type="dxa"/>
            <w:gridSpan w:val="3"/>
          </w:tcPr>
          <w:p w14:paraId="0A7E87FA">
            <w:pPr>
              <w:tabs>
                <w:tab w:val="left" w:pos="993"/>
              </w:tabs>
              <w:spacing w:line="520" w:lineRule="exact"/>
              <w:rPr>
                <w:rFonts w:ascii="宋体" w:cs="宋体"/>
                <w:sz w:val="24"/>
                <w:szCs w:val="24"/>
              </w:rPr>
            </w:pPr>
          </w:p>
        </w:tc>
        <w:tc>
          <w:tcPr>
            <w:tcW w:w="1875" w:type="dxa"/>
            <w:gridSpan w:val="2"/>
          </w:tcPr>
          <w:p w14:paraId="33332C28">
            <w:pPr>
              <w:tabs>
                <w:tab w:val="left" w:pos="993"/>
              </w:tabs>
              <w:spacing w:line="520" w:lineRule="exact"/>
              <w:rPr>
                <w:rFonts w:ascii="宋体" w:cs="宋体"/>
                <w:sz w:val="24"/>
                <w:szCs w:val="24"/>
              </w:rPr>
            </w:pPr>
            <w:r>
              <w:rPr>
                <w:rFonts w:hint="eastAsia" w:ascii="宋体" w:hAnsi="宋体" w:cs="宋体"/>
                <w:sz w:val="24"/>
                <w:szCs w:val="24"/>
              </w:rPr>
              <w:t>注册年份</w:t>
            </w:r>
          </w:p>
        </w:tc>
        <w:tc>
          <w:tcPr>
            <w:tcW w:w="2237" w:type="dxa"/>
            <w:gridSpan w:val="3"/>
          </w:tcPr>
          <w:p w14:paraId="4D31C60F">
            <w:pPr>
              <w:tabs>
                <w:tab w:val="left" w:pos="993"/>
              </w:tabs>
              <w:spacing w:line="520" w:lineRule="exact"/>
              <w:rPr>
                <w:rFonts w:ascii="宋体" w:cs="宋体"/>
                <w:sz w:val="24"/>
                <w:szCs w:val="24"/>
              </w:rPr>
            </w:pPr>
          </w:p>
        </w:tc>
      </w:tr>
      <w:tr w14:paraId="5FB96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43166D59">
            <w:pPr>
              <w:tabs>
                <w:tab w:val="left" w:pos="993"/>
              </w:tabs>
              <w:spacing w:line="520" w:lineRule="exact"/>
              <w:jc w:val="center"/>
              <w:rPr>
                <w:rFonts w:ascii="宋体" w:cs="宋体"/>
                <w:sz w:val="24"/>
                <w:szCs w:val="24"/>
              </w:rPr>
            </w:pPr>
            <w:r>
              <w:rPr>
                <w:rFonts w:hint="eastAsia" w:ascii="宋体" w:hAnsi="宋体" w:cs="宋体"/>
                <w:sz w:val="24"/>
                <w:szCs w:val="24"/>
              </w:rPr>
              <w:t>资质等级</w:t>
            </w:r>
          </w:p>
        </w:tc>
        <w:tc>
          <w:tcPr>
            <w:tcW w:w="6520" w:type="dxa"/>
            <w:gridSpan w:val="8"/>
          </w:tcPr>
          <w:p w14:paraId="4E6DC2BA">
            <w:pPr>
              <w:tabs>
                <w:tab w:val="left" w:pos="993"/>
              </w:tabs>
              <w:spacing w:line="520" w:lineRule="exact"/>
              <w:rPr>
                <w:rFonts w:ascii="宋体" w:cs="宋体"/>
                <w:sz w:val="24"/>
                <w:szCs w:val="24"/>
              </w:rPr>
            </w:pPr>
            <w:r>
              <w:rPr>
                <w:rFonts w:hint="eastAsia" w:ascii="宋体" w:hAnsi="宋体" w:cs="宋体"/>
                <w:sz w:val="24"/>
                <w:szCs w:val="24"/>
              </w:rPr>
              <w:t>公司具备的相关资质等级及相应的证书号</w:t>
            </w:r>
          </w:p>
          <w:p w14:paraId="63D439C7">
            <w:pPr>
              <w:tabs>
                <w:tab w:val="left" w:pos="993"/>
              </w:tabs>
              <w:spacing w:line="520" w:lineRule="exact"/>
              <w:rPr>
                <w:rFonts w:ascii="宋体" w:cs="宋体"/>
                <w:sz w:val="24"/>
                <w:szCs w:val="24"/>
              </w:rPr>
            </w:pPr>
            <w:r>
              <w:rPr>
                <w:rFonts w:hint="eastAsia" w:ascii="宋体" w:hAnsi="宋体" w:cs="宋体"/>
                <w:sz w:val="24"/>
                <w:szCs w:val="24"/>
              </w:rPr>
              <w:t>（请附有关证书的复印件）</w:t>
            </w:r>
          </w:p>
        </w:tc>
      </w:tr>
      <w:tr w14:paraId="2E490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671D9805">
            <w:pPr>
              <w:tabs>
                <w:tab w:val="left" w:pos="993"/>
              </w:tabs>
              <w:spacing w:line="520" w:lineRule="exact"/>
              <w:jc w:val="center"/>
              <w:rPr>
                <w:rFonts w:ascii="宋体" w:cs="宋体"/>
                <w:sz w:val="24"/>
                <w:szCs w:val="24"/>
              </w:rPr>
            </w:pPr>
            <w:r>
              <w:rPr>
                <w:rFonts w:hint="eastAsia" w:ascii="宋体" w:hAnsi="宋体" w:cs="宋体"/>
                <w:sz w:val="24"/>
                <w:szCs w:val="24"/>
              </w:rPr>
              <w:t>质量管理体系</w:t>
            </w:r>
          </w:p>
        </w:tc>
        <w:tc>
          <w:tcPr>
            <w:tcW w:w="6520" w:type="dxa"/>
            <w:gridSpan w:val="8"/>
          </w:tcPr>
          <w:p w14:paraId="755DE5E2">
            <w:pPr>
              <w:tabs>
                <w:tab w:val="left" w:pos="993"/>
              </w:tabs>
              <w:spacing w:line="520" w:lineRule="exact"/>
              <w:rPr>
                <w:rFonts w:ascii="宋体" w:cs="宋体"/>
                <w:sz w:val="24"/>
                <w:szCs w:val="24"/>
              </w:rPr>
            </w:pPr>
            <w:r>
              <w:rPr>
                <w:rFonts w:hint="eastAsia" w:ascii="宋体" w:hAnsi="宋体" w:cs="宋体"/>
                <w:sz w:val="24"/>
                <w:szCs w:val="24"/>
              </w:rPr>
              <w:t>公司</w:t>
            </w:r>
            <w:r>
              <w:rPr>
                <w:rFonts w:ascii="宋体" w:hAnsi="宋体" w:cs="宋体"/>
                <w:sz w:val="24"/>
                <w:szCs w:val="24"/>
                <w:u w:val="single"/>
              </w:rPr>
              <w:t xml:space="preserve">   </w:t>
            </w:r>
            <w:r>
              <w:rPr>
                <w:rFonts w:hint="eastAsia" w:ascii="宋体" w:hAnsi="宋体" w:cs="宋体"/>
                <w:sz w:val="24"/>
                <w:szCs w:val="24"/>
                <w:u w:val="single"/>
              </w:rPr>
              <w:t>（是否通过，何种）</w:t>
            </w:r>
            <w:r>
              <w:rPr>
                <w:rFonts w:ascii="宋体" w:hAnsi="宋体" w:cs="宋体"/>
                <w:sz w:val="24"/>
                <w:szCs w:val="24"/>
                <w:u w:val="single"/>
              </w:rPr>
              <w:t xml:space="preserve">   </w:t>
            </w:r>
            <w:r>
              <w:rPr>
                <w:rFonts w:hint="eastAsia" w:ascii="宋体" w:hAnsi="宋体" w:cs="宋体"/>
                <w:sz w:val="24"/>
                <w:szCs w:val="24"/>
              </w:rPr>
              <w:t>质量保证体系认证（如通过请附相关在有效期内的证书复印件）</w:t>
            </w:r>
          </w:p>
        </w:tc>
      </w:tr>
      <w:tr w14:paraId="54569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42E2E042">
            <w:pPr>
              <w:tabs>
                <w:tab w:val="left" w:pos="993"/>
              </w:tabs>
              <w:spacing w:line="520" w:lineRule="exact"/>
              <w:jc w:val="center"/>
              <w:rPr>
                <w:rFonts w:ascii="宋体" w:cs="宋体"/>
                <w:sz w:val="24"/>
                <w:szCs w:val="24"/>
              </w:rPr>
            </w:pPr>
            <w:r>
              <w:rPr>
                <w:rFonts w:hint="eastAsia" w:ascii="宋体" w:hAnsi="宋体" w:cs="宋体"/>
                <w:sz w:val="24"/>
                <w:szCs w:val="24"/>
              </w:rPr>
              <w:t>项目负责人</w:t>
            </w:r>
          </w:p>
        </w:tc>
        <w:tc>
          <w:tcPr>
            <w:tcW w:w="1559" w:type="dxa"/>
            <w:gridSpan w:val="2"/>
          </w:tcPr>
          <w:p w14:paraId="14C22AA2">
            <w:pPr>
              <w:tabs>
                <w:tab w:val="left" w:pos="993"/>
              </w:tabs>
              <w:spacing w:line="520" w:lineRule="exact"/>
              <w:jc w:val="center"/>
              <w:rPr>
                <w:rFonts w:ascii="宋体" w:cs="宋体"/>
                <w:sz w:val="24"/>
                <w:szCs w:val="24"/>
              </w:rPr>
            </w:pPr>
          </w:p>
        </w:tc>
        <w:tc>
          <w:tcPr>
            <w:tcW w:w="1417" w:type="dxa"/>
            <w:gridSpan w:val="2"/>
          </w:tcPr>
          <w:p w14:paraId="77EA367B">
            <w:pPr>
              <w:tabs>
                <w:tab w:val="left" w:pos="993"/>
              </w:tabs>
              <w:spacing w:line="520" w:lineRule="exact"/>
              <w:jc w:val="center"/>
              <w:rPr>
                <w:rFonts w:ascii="宋体" w:cs="宋体"/>
                <w:sz w:val="24"/>
                <w:szCs w:val="24"/>
              </w:rPr>
            </w:pPr>
            <w:r>
              <w:rPr>
                <w:rFonts w:hint="eastAsia" w:ascii="宋体" w:hAnsi="宋体" w:cs="宋体"/>
                <w:sz w:val="24"/>
                <w:szCs w:val="24"/>
              </w:rPr>
              <w:t>年龄</w:t>
            </w:r>
          </w:p>
        </w:tc>
        <w:tc>
          <w:tcPr>
            <w:tcW w:w="1466" w:type="dxa"/>
            <w:gridSpan w:val="2"/>
          </w:tcPr>
          <w:p w14:paraId="6F38FE46">
            <w:pPr>
              <w:tabs>
                <w:tab w:val="left" w:pos="993"/>
              </w:tabs>
              <w:spacing w:line="520" w:lineRule="exact"/>
              <w:jc w:val="center"/>
              <w:rPr>
                <w:rFonts w:ascii="宋体" w:cs="宋体"/>
                <w:sz w:val="24"/>
                <w:szCs w:val="24"/>
              </w:rPr>
            </w:pPr>
          </w:p>
        </w:tc>
        <w:tc>
          <w:tcPr>
            <w:tcW w:w="1320" w:type="dxa"/>
          </w:tcPr>
          <w:p w14:paraId="787FAB5A">
            <w:pPr>
              <w:tabs>
                <w:tab w:val="left" w:pos="993"/>
              </w:tabs>
              <w:spacing w:line="520" w:lineRule="exact"/>
              <w:jc w:val="center"/>
              <w:rPr>
                <w:rFonts w:ascii="宋体" w:cs="宋体"/>
                <w:sz w:val="24"/>
                <w:szCs w:val="24"/>
              </w:rPr>
            </w:pPr>
            <w:r>
              <w:rPr>
                <w:rFonts w:hint="eastAsia" w:ascii="宋体" w:hAnsi="宋体" w:cs="宋体"/>
                <w:sz w:val="24"/>
                <w:szCs w:val="24"/>
              </w:rPr>
              <w:t>性别</w:t>
            </w:r>
          </w:p>
        </w:tc>
        <w:tc>
          <w:tcPr>
            <w:tcW w:w="758" w:type="dxa"/>
          </w:tcPr>
          <w:p w14:paraId="54DD9980">
            <w:pPr>
              <w:tabs>
                <w:tab w:val="left" w:pos="993"/>
              </w:tabs>
              <w:spacing w:line="520" w:lineRule="exact"/>
              <w:jc w:val="center"/>
              <w:rPr>
                <w:rFonts w:ascii="宋体" w:cs="宋体"/>
                <w:sz w:val="24"/>
                <w:szCs w:val="24"/>
              </w:rPr>
            </w:pPr>
          </w:p>
        </w:tc>
      </w:tr>
      <w:tr w14:paraId="306E5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14:paraId="19BC65D5">
            <w:pPr>
              <w:tabs>
                <w:tab w:val="left" w:pos="993"/>
              </w:tabs>
              <w:spacing w:line="520" w:lineRule="exact"/>
              <w:jc w:val="center"/>
              <w:rPr>
                <w:rFonts w:ascii="宋体" w:cs="宋体"/>
                <w:sz w:val="24"/>
                <w:szCs w:val="24"/>
              </w:rPr>
            </w:pPr>
            <w:r>
              <w:rPr>
                <w:rFonts w:hint="eastAsia" w:ascii="宋体" w:hAnsi="宋体" w:cs="宋体"/>
                <w:sz w:val="24"/>
                <w:szCs w:val="24"/>
              </w:rPr>
              <w:t>职务职称</w:t>
            </w:r>
          </w:p>
        </w:tc>
        <w:tc>
          <w:tcPr>
            <w:tcW w:w="2976" w:type="dxa"/>
            <w:gridSpan w:val="4"/>
          </w:tcPr>
          <w:p w14:paraId="6B9B5A7E">
            <w:pPr>
              <w:tabs>
                <w:tab w:val="left" w:pos="993"/>
              </w:tabs>
              <w:spacing w:line="520" w:lineRule="exact"/>
              <w:rPr>
                <w:rFonts w:ascii="宋体" w:cs="宋体"/>
                <w:sz w:val="24"/>
                <w:szCs w:val="24"/>
              </w:rPr>
            </w:pPr>
          </w:p>
        </w:tc>
        <w:tc>
          <w:tcPr>
            <w:tcW w:w="1466" w:type="dxa"/>
            <w:gridSpan w:val="2"/>
          </w:tcPr>
          <w:p w14:paraId="41EB83DE">
            <w:pPr>
              <w:tabs>
                <w:tab w:val="left" w:pos="993"/>
              </w:tabs>
              <w:spacing w:line="520" w:lineRule="exact"/>
              <w:rPr>
                <w:rFonts w:ascii="宋体" w:cs="宋体"/>
                <w:sz w:val="24"/>
                <w:szCs w:val="24"/>
              </w:rPr>
            </w:pPr>
            <w:r>
              <w:rPr>
                <w:rFonts w:hint="eastAsia" w:ascii="宋体" w:hAnsi="宋体" w:cs="宋体"/>
                <w:sz w:val="24"/>
                <w:szCs w:val="24"/>
              </w:rPr>
              <w:t>执业资格</w:t>
            </w:r>
          </w:p>
        </w:tc>
        <w:tc>
          <w:tcPr>
            <w:tcW w:w="2078" w:type="dxa"/>
            <w:gridSpan w:val="2"/>
          </w:tcPr>
          <w:p w14:paraId="032EAB4D">
            <w:pPr>
              <w:tabs>
                <w:tab w:val="left" w:pos="993"/>
              </w:tabs>
              <w:spacing w:line="520" w:lineRule="exact"/>
              <w:rPr>
                <w:rFonts w:ascii="宋体" w:cs="宋体"/>
                <w:sz w:val="24"/>
                <w:szCs w:val="24"/>
              </w:rPr>
            </w:pPr>
          </w:p>
        </w:tc>
      </w:tr>
      <w:tr w14:paraId="74498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0" w:hRule="atLeast"/>
        </w:trPr>
        <w:tc>
          <w:tcPr>
            <w:tcW w:w="2235" w:type="dxa"/>
            <w:vAlign w:val="center"/>
          </w:tcPr>
          <w:p w14:paraId="155913E5">
            <w:pPr>
              <w:tabs>
                <w:tab w:val="left" w:pos="993"/>
              </w:tabs>
              <w:spacing w:line="520" w:lineRule="exact"/>
              <w:jc w:val="center"/>
              <w:rPr>
                <w:rFonts w:ascii="宋体" w:cs="宋体"/>
                <w:sz w:val="24"/>
                <w:szCs w:val="24"/>
              </w:rPr>
            </w:pPr>
            <w:r>
              <w:rPr>
                <w:rFonts w:hint="eastAsia" w:ascii="宋体" w:hAnsi="宋体" w:cs="宋体"/>
                <w:sz w:val="24"/>
                <w:szCs w:val="24"/>
              </w:rPr>
              <w:t>经营范围</w:t>
            </w:r>
          </w:p>
        </w:tc>
        <w:tc>
          <w:tcPr>
            <w:tcW w:w="6520" w:type="dxa"/>
            <w:gridSpan w:val="8"/>
          </w:tcPr>
          <w:p w14:paraId="155CEA79">
            <w:pPr>
              <w:tabs>
                <w:tab w:val="left" w:pos="993"/>
              </w:tabs>
              <w:spacing w:line="520" w:lineRule="exact"/>
              <w:rPr>
                <w:rFonts w:ascii="宋体" w:cs="宋体"/>
                <w:sz w:val="24"/>
                <w:szCs w:val="24"/>
              </w:rPr>
            </w:pPr>
            <w:r>
              <w:rPr>
                <w:rFonts w:hint="eastAsia" w:ascii="宋体" w:hAnsi="宋体" w:cs="宋体"/>
                <w:sz w:val="24"/>
                <w:szCs w:val="24"/>
              </w:rPr>
              <w:t>营业执照载明：</w:t>
            </w:r>
          </w:p>
          <w:p w14:paraId="289BD2DD">
            <w:pPr>
              <w:tabs>
                <w:tab w:val="left" w:pos="993"/>
              </w:tabs>
              <w:spacing w:line="520" w:lineRule="exact"/>
              <w:rPr>
                <w:rFonts w:ascii="宋体" w:cs="宋体"/>
                <w:sz w:val="24"/>
                <w:szCs w:val="24"/>
                <w:u w:val="single"/>
              </w:rPr>
            </w:pPr>
            <w:r>
              <w:rPr>
                <w:rFonts w:ascii="宋体" w:hAnsi="宋体" w:cs="宋体"/>
                <w:sz w:val="24"/>
                <w:szCs w:val="24"/>
              </w:rPr>
              <w:t>1.</w:t>
            </w:r>
            <w:r>
              <w:rPr>
                <w:rFonts w:ascii="宋体" w:hAnsi="宋体" w:cs="宋体"/>
                <w:sz w:val="24"/>
                <w:szCs w:val="24"/>
                <w:u w:val="single"/>
              </w:rPr>
              <w:t xml:space="preserve">                                               </w:t>
            </w:r>
          </w:p>
          <w:p w14:paraId="7CF536E2">
            <w:pPr>
              <w:tabs>
                <w:tab w:val="left" w:pos="993"/>
              </w:tabs>
              <w:spacing w:line="520" w:lineRule="exact"/>
              <w:rPr>
                <w:rFonts w:ascii="宋体" w:cs="宋体"/>
                <w:sz w:val="24"/>
                <w:szCs w:val="24"/>
                <w:u w:val="single"/>
              </w:rPr>
            </w:pPr>
            <w:r>
              <w:rPr>
                <w:rFonts w:ascii="宋体" w:hAnsi="宋体" w:cs="宋体"/>
                <w:sz w:val="24"/>
                <w:szCs w:val="24"/>
              </w:rPr>
              <w:t>2.</w:t>
            </w:r>
            <w:r>
              <w:rPr>
                <w:rFonts w:ascii="宋体" w:hAnsi="宋体" w:cs="宋体"/>
                <w:sz w:val="24"/>
                <w:szCs w:val="24"/>
                <w:u w:val="single"/>
              </w:rPr>
              <w:t xml:space="preserve">                                               </w:t>
            </w:r>
          </w:p>
          <w:p w14:paraId="66476AB2">
            <w:pPr>
              <w:tabs>
                <w:tab w:val="left" w:pos="993"/>
              </w:tabs>
              <w:spacing w:line="520" w:lineRule="exact"/>
              <w:rPr>
                <w:rFonts w:ascii="宋体" w:cs="宋体"/>
                <w:sz w:val="24"/>
                <w:szCs w:val="24"/>
                <w:u w:val="single"/>
              </w:rPr>
            </w:pPr>
            <w:r>
              <w:rPr>
                <w:rFonts w:ascii="宋体" w:hAnsi="宋体" w:cs="宋体"/>
                <w:sz w:val="24"/>
                <w:szCs w:val="24"/>
              </w:rPr>
              <w:t>3.</w:t>
            </w:r>
            <w:r>
              <w:rPr>
                <w:rFonts w:ascii="宋体" w:hAnsi="宋体" w:cs="宋体"/>
                <w:sz w:val="24"/>
                <w:szCs w:val="24"/>
                <w:u w:val="single"/>
              </w:rPr>
              <w:t xml:space="preserve">                                               </w:t>
            </w:r>
          </w:p>
          <w:p w14:paraId="5CD50C66">
            <w:pPr>
              <w:tabs>
                <w:tab w:val="left" w:pos="993"/>
              </w:tabs>
              <w:spacing w:line="520" w:lineRule="exact"/>
              <w:rPr>
                <w:rFonts w:ascii="宋体" w:cs="宋体"/>
                <w:sz w:val="24"/>
                <w:szCs w:val="24"/>
              </w:rPr>
            </w:pPr>
            <w:r>
              <w:rPr>
                <w:rFonts w:hint="eastAsia" w:ascii="宋体" w:hAnsi="宋体" w:cs="宋体"/>
                <w:sz w:val="24"/>
                <w:szCs w:val="24"/>
              </w:rPr>
              <w:t>………………………</w:t>
            </w:r>
          </w:p>
        </w:tc>
      </w:tr>
      <w:tr w14:paraId="61FAC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2943" w:type="dxa"/>
            <w:gridSpan w:val="2"/>
            <w:vAlign w:val="center"/>
          </w:tcPr>
          <w:p w14:paraId="43EBF979">
            <w:pPr>
              <w:tabs>
                <w:tab w:val="left" w:pos="993"/>
              </w:tabs>
              <w:spacing w:line="520" w:lineRule="exact"/>
              <w:rPr>
                <w:rFonts w:ascii="宋体" w:cs="宋体"/>
                <w:sz w:val="24"/>
                <w:szCs w:val="24"/>
              </w:rPr>
            </w:pPr>
            <w:r>
              <w:rPr>
                <w:rFonts w:hint="eastAsia" w:ascii="宋体" w:hAnsi="宋体" w:cs="宋体"/>
                <w:sz w:val="24"/>
                <w:szCs w:val="24"/>
              </w:rPr>
              <w:t>从事类似相关项目的经历及年数</w:t>
            </w:r>
          </w:p>
        </w:tc>
        <w:tc>
          <w:tcPr>
            <w:tcW w:w="5812" w:type="dxa"/>
            <w:gridSpan w:val="7"/>
          </w:tcPr>
          <w:p w14:paraId="4ECE78BD">
            <w:pPr>
              <w:tabs>
                <w:tab w:val="left" w:pos="993"/>
              </w:tabs>
              <w:spacing w:line="520" w:lineRule="exact"/>
              <w:rPr>
                <w:rFonts w:ascii="宋体" w:cs="宋体"/>
                <w:sz w:val="24"/>
                <w:szCs w:val="24"/>
              </w:rPr>
            </w:pPr>
          </w:p>
        </w:tc>
      </w:tr>
      <w:tr w14:paraId="6459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2943" w:type="dxa"/>
            <w:gridSpan w:val="2"/>
            <w:vAlign w:val="center"/>
          </w:tcPr>
          <w:p w14:paraId="6C8D9174">
            <w:pPr>
              <w:tabs>
                <w:tab w:val="left" w:pos="993"/>
              </w:tabs>
              <w:spacing w:line="520" w:lineRule="exact"/>
              <w:rPr>
                <w:rFonts w:ascii="宋体" w:cs="宋体"/>
                <w:sz w:val="24"/>
                <w:szCs w:val="24"/>
              </w:rPr>
            </w:pPr>
            <w:r>
              <w:rPr>
                <w:rFonts w:hint="eastAsia" w:ascii="宋体" w:hAnsi="宋体" w:cs="宋体"/>
                <w:sz w:val="24"/>
                <w:szCs w:val="24"/>
              </w:rPr>
              <w:t>其他认为有必要提供的内容，可自行添加</w:t>
            </w:r>
          </w:p>
        </w:tc>
        <w:tc>
          <w:tcPr>
            <w:tcW w:w="5812" w:type="dxa"/>
            <w:gridSpan w:val="7"/>
          </w:tcPr>
          <w:p w14:paraId="0E120515">
            <w:pPr>
              <w:tabs>
                <w:tab w:val="left" w:pos="993"/>
              </w:tabs>
              <w:spacing w:line="520" w:lineRule="exact"/>
              <w:rPr>
                <w:rFonts w:ascii="宋体" w:cs="宋体"/>
                <w:sz w:val="24"/>
                <w:szCs w:val="24"/>
              </w:rPr>
            </w:pPr>
          </w:p>
        </w:tc>
      </w:tr>
    </w:tbl>
    <w:p w14:paraId="5E55A5B0">
      <w:pPr>
        <w:snapToGrid w:val="0"/>
        <w:spacing w:line="520" w:lineRule="exact"/>
        <w:rPr>
          <w:rFonts w:ascii="宋体" w:cs="宋体"/>
          <w:bCs/>
          <w:sz w:val="24"/>
          <w:szCs w:val="24"/>
        </w:rPr>
      </w:pPr>
      <w:r>
        <w:rPr>
          <w:rFonts w:hint="eastAsia" w:ascii="宋体" w:hAnsi="宋体" w:cs="宋体"/>
          <w:sz w:val="24"/>
          <w:szCs w:val="24"/>
        </w:rPr>
        <w:t>竞争性磋商响应单位</w:t>
      </w:r>
      <w:r>
        <w:rPr>
          <w:rFonts w:hint="eastAsia" w:ascii="宋体" w:hAnsi="宋体" w:cs="宋体"/>
          <w:bCs/>
          <w:sz w:val="24"/>
          <w:szCs w:val="24"/>
        </w:rPr>
        <w:t>：（盖章）</w:t>
      </w:r>
      <w:r>
        <w:rPr>
          <w:rFonts w:ascii="宋体" w:hAnsi="宋体" w:cs="宋体"/>
          <w:bCs/>
          <w:sz w:val="24"/>
          <w:szCs w:val="24"/>
        </w:rPr>
        <w:t xml:space="preserve">             </w:t>
      </w:r>
    </w:p>
    <w:p w14:paraId="16C23053">
      <w:pPr>
        <w:snapToGrid w:val="0"/>
        <w:spacing w:line="520" w:lineRule="exact"/>
        <w:rPr>
          <w:rFonts w:ascii="宋体" w:cs="宋体"/>
          <w:bCs/>
          <w:sz w:val="24"/>
          <w:szCs w:val="24"/>
        </w:rPr>
      </w:pPr>
      <w:r>
        <w:rPr>
          <w:rFonts w:hint="eastAsia" w:ascii="宋体" w:hAnsi="宋体" w:cs="宋体"/>
          <w:bCs/>
          <w:sz w:val="24"/>
          <w:szCs w:val="24"/>
        </w:rPr>
        <w:t>法定代表人或被授权人（签字或盖章）：</w:t>
      </w:r>
      <w:r>
        <w:rPr>
          <w:rFonts w:ascii="宋体" w:hAnsi="宋体" w:cs="宋体"/>
          <w:bCs/>
          <w:sz w:val="24"/>
          <w:szCs w:val="24"/>
        </w:rPr>
        <w:t xml:space="preserve">  </w:t>
      </w:r>
    </w:p>
    <w:p w14:paraId="32C49C65">
      <w:pPr>
        <w:snapToGrid w:val="0"/>
        <w:spacing w:line="520" w:lineRule="exact"/>
        <w:rPr>
          <w:rFonts w:ascii="宋体" w:cs="宋体"/>
          <w:bCs/>
          <w:sz w:val="24"/>
          <w:szCs w:val="24"/>
        </w:rPr>
      </w:pPr>
      <w:r>
        <w:rPr>
          <w:rFonts w:hint="eastAsia" w:ascii="宋体" w:hAnsi="宋体" w:cs="宋体"/>
          <w:bCs/>
          <w:sz w:val="24"/>
          <w:szCs w:val="24"/>
        </w:rPr>
        <w:t>日期：</w:t>
      </w:r>
    </w:p>
    <w:p w14:paraId="3BB0AA08">
      <w:pPr>
        <w:adjustRightInd w:val="0"/>
        <w:snapToGrid w:val="0"/>
        <w:spacing w:line="500" w:lineRule="exact"/>
        <w:jc w:val="center"/>
        <w:rPr>
          <w:rFonts w:ascii="宋体" w:cs="宋体"/>
          <w:b/>
          <w:bCs/>
          <w:sz w:val="28"/>
          <w:szCs w:val="28"/>
        </w:rPr>
      </w:pPr>
      <w:r>
        <w:rPr>
          <w:rFonts w:ascii="宋体" w:hAnsi="宋体" w:cs="宋体"/>
          <w:b/>
          <w:bCs/>
          <w:sz w:val="28"/>
          <w:szCs w:val="28"/>
        </w:rPr>
        <w:t>7</w:t>
      </w:r>
      <w:r>
        <w:rPr>
          <w:rFonts w:hint="eastAsia" w:ascii="宋体" w:hAnsi="宋体" w:cs="宋体"/>
          <w:b/>
          <w:bCs/>
          <w:sz w:val="28"/>
          <w:szCs w:val="28"/>
        </w:rPr>
        <w:t>、</w:t>
      </w:r>
      <w:r>
        <w:rPr>
          <w:rFonts w:hint="eastAsia" w:ascii="宋体" w:hAnsi="宋体" w:cs="宋体"/>
          <w:b/>
          <w:sz w:val="28"/>
          <w:szCs w:val="28"/>
        </w:rPr>
        <w:t>磋商响应报价总表</w:t>
      </w:r>
      <w:r>
        <w:rPr>
          <w:rStyle w:val="73"/>
          <w:rFonts w:ascii="宋体" w:hAnsi="宋体" w:eastAsia="宋体"/>
          <w:b w:val="0"/>
          <w:sz w:val="28"/>
          <w:szCs w:val="28"/>
        </w:rPr>
        <w:t xml:space="preserve"> </w:t>
      </w:r>
    </w:p>
    <w:p w14:paraId="0377B87F">
      <w:pPr>
        <w:pStyle w:val="111"/>
        <w:spacing w:line="360" w:lineRule="auto"/>
        <w:rPr>
          <w:rFonts w:hint="eastAsia" w:hAnsi="宋体" w:cs="宋体"/>
          <w:sz w:val="24"/>
        </w:rPr>
      </w:pPr>
      <w:r>
        <w:rPr>
          <w:rFonts w:hint="eastAsia" w:hAnsi="宋体" w:cs="宋体"/>
          <w:sz w:val="24"/>
          <w:u w:val="single"/>
        </w:rPr>
        <w:t>南通市图书馆：</w:t>
      </w:r>
      <w:r>
        <w:rPr>
          <w:rFonts w:hAnsi="宋体" w:cs="宋体"/>
          <w:sz w:val="24"/>
        </w:rPr>
        <w:t xml:space="preserve"> </w:t>
      </w:r>
    </w:p>
    <w:p w14:paraId="22ED8D78">
      <w:pPr>
        <w:spacing w:line="360" w:lineRule="auto"/>
        <w:ind w:firstLine="480" w:firstLineChars="200"/>
        <w:jc w:val="left"/>
        <w:rPr>
          <w:rFonts w:ascii="宋体"/>
          <w:sz w:val="24"/>
          <w:szCs w:val="24"/>
        </w:rPr>
      </w:pPr>
      <w:r>
        <w:rPr>
          <w:rFonts w:ascii="宋体" w:hAnsi="宋体"/>
          <w:sz w:val="24"/>
          <w:szCs w:val="24"/>
        </w:rPr>
        <w:t>1</w:t>
      </w:r>
      <w:r>
        <w:rPr>
          <w:rFonts w:hint="eastAsia" w:ascii="宋体" w:hAnsi="宋体"/>
          <w:sz w:val="24"/>
          <w:szCs w:val="24"/>
        </w:rPr>
        <w:t>、我方已仔细研究了南通市图书馆智能化维保服务项目的</w:t>
      </w:r>
      <w:r>
        <w:rPr>
          <w:rFonts w:hint="eastAsia" w:ascii="宋体" w:hAnsi="宋体" w:cs="宋体"/>
          <w:kern w:val="0"/>
          <w:sz w:val="24"/>
          <w:szCs w:val="24"/>
        </w:rPr>
        <w:t>竞争性磋商文件</w:t>
      </w:r>
      <w:r>
        <w:rPr>
          <w:rFonts w:hint="eastAsia" w:ascii="宋体" w:hAnsi="宋体"/>
          <w:sz w:val="24"/>
          <w:szCs w:val="24"/>
        </w:rPr>
        <w:t>的全部内容，愿意就该项目给出如下报价：</w:t>
      </w:r>
    </w:p>
    <w:p w14:paraId="0E590A51">
      <w:pPr>
        <w:spacing w:line="360" w:lineRule="auto"/>
        <w:jc w:val="left"/>
        <w:rPr>
          <w:rFonts w:hint="eastAsia" w:ascii="宋体" w:hAnsi="宋体"/>
          <w:sz w:val="24"/>
          <w:szCs w:val="24"/>
        </w:rPr>
      </w:pPr>
      <w:r>
        <w:rPr>
          <w:rFonts w:hint="eastAsia" w:ascii="宋体" w:hAnsi="宋体"/>
          <w:sz w:val="24"/>
          <w:szCs w:val="24"/>
        </w:rPr>
        <w:t>磋商报价总计（首次）：¥</w:t>
      </w:r>
      <w:r>
        <w:rPr>
          <w:rFonts w:hint="eastAsia" w:ascii="宋体" w:hAnsi="宋体"/>
          <w:sz w:val="24"/>
          <w:szCs w:val="24"/>
          <w:u w:val="single"/>
        </w:rPr>
        <w:t xml:space="preserve">        </w:t>
      </w:r>
      <w:r>
        <w:rPr>
          <w:rFonts w:hint="eastAsia" w:ascii="宋体" w:hAnsi="宋体"/>
          <w:sz w:val="24"/>
          <w:szCs w:val="24"/>
        </w:rPr>
        <w:t>元，大写：人民币</w:t>
      </w:r>
      <w:r>
        <w:rPr>
          <w:rFonts w:hint="eastAsia" w:ascii="宋体" w:hAnsi="宋体"/>
          <w:sz w:val="24"/>
          <w:szCs w:val="24"/>
          <w:u w:val="single"/>
        </w:rPr>
        <w:t xml:space="preserve">                  </w:t>
      </w:r>
      <w:r>
        <w:rPr>
          <w:rFonts w:hint="eastAsia" w:ascii="宋体" w:hAnsi="宋体"/>
          <w:sz w:val="24"/>
          <w:szCs w:val="24"/>
        </w:rPr>
        <w:t xml:space="preserve"> ；</w:t>
      </w:r>
    </w:p>
    <w:p w14:paraId="08ED711D">
      <w:pPr>
        <w:spacing w:line="360" w:lineRule="auto"/>
        <w:jc w:val="left"/>
        <w:rPr>
          <w:rFonts w:hint="eastAsia" w:ascii="宋体" w:hAnsi="宋体" w:cs="宋体"/>
          <w:sz w:val="24"/>
          <w:szCs w:val="24"/>
        </w:rPr>
      </w:pPr>
      <w:r>
        <w:rPr>
          <w:rFonts w:hint="eastAsia" w:ascii="宋体" w:hAnsi="宋体"/>
          <w:sz w:val="24"/>
          <w:szCs w:val="24"/>
        </w:rPr>
        <w:t>现场第二次报价（最终）</w:t>
      </w:r>
      <w:r>
        <w:rPr>
          <w:rFonts w:hint="eastAsia" w:ascii="宋体" w:hAnsi="宋体" w:cs="宋体"/>
          <w:sz w:val="24"/>
          <w:szCs w:val="24"/>
        </w:rPr>
        <w:t>：</w:t>
      </w:r>
      <w:r>
        <w:rPr>
          <w:rFonts w:hint="eastAsia" w:ascii="宋体" w:hAnsi="宋体"/>
          <w:sz w:val="24"/>
          <w:szCs w:val="24"/>
        </w:rPr>
        <w:t>¥</w:t>
      </w:r>
      <w:r>
        <w:rPr>
          <w:rFonts w:hint="eastAsia" w:ascii="宋体" w:hAnsi="宋体"/>
          <w:sz w:val="24"/>
          <w:szCs w:val="24"/>
          <w:u w:val="single"/>
        </w:rPr>
        <w:t xml:space="preserve">        </w:t>
      </w:r>
      <w:r>
        <w:rPr>
          <w:rFonts w:hint="eastAsia" w:ascii="宋体" w:hAnsi="宋体"/>
          <w:sz w:val="24"/>
          <w:szCs w:val="24"/>
        </w:rPr>
        <w:t>元，大写：人民币</w:t>
      </w:r>
      <w:r>
        <w:rPr>
          <w:rFonts w:hint="eastAsia" w:ascii="宋体" w:hAnsi="宋体"/>
          <w:sz w:val="24"/>
          <w:szCs w:val="24"/>
          <w:u w:val="single"/>
        </w:rPr>
        <w:t xml:space="preserve">                 </w:t>
      </w:r>
      <w:r>
        <w:rPr>
          <w:rFonts w:hint="eastAsia" w:ascii="宋体" w:hAnsi="宋体"/>
          <w:sz w:val="24"/>
          <w:szCs w:val="24"/>
        </w:rPr>
        <w:t xml:space="preserve"> ；</w:t>
      </w:r>
    </w:p>
    <w:p w14:paraId="1819150B">
      <w:pPr>
        <w:snapToGrid w:val="0"/>
        <w:spacing w:line="360" w:lineRule="auto"/>
        <w:ind w:firstLine="496" w:firstLineChars="206"/>
        <w:rPr>
          <w:rFonts w:hint="eastAsia" w:ascii="宋体" w:hAnsi="宋体" w:cs="宋体"/>
          <w:b/>
          <w:sz w:val="24"/>
          <w:szCs w:val="24"/>
        </w:rPr>
      </w:pPr>
      <w:r>
        <w:rPr>
          <w:rFonts w:hint="eastAsia" w:ascii="宋体" w:hAnsi="宋体" w:cs="宋体"/>
          <w:b/>
          <w:sz w:val="24"/>
          <w:szCs w:val="24"/>
        </w:rPr>
        <w:t>注：第二次报价即最终报价将在开标现场填写，响应文件密封提交时只需填写磋商报价总计（首次）。且第二次（最终）报价时，磋商响应报价明细表按同比例下浮。</w:t>
      </w:r>
    </w:p>
    <w:p w14:paraId="1549009E">
      <w:pPr>
        <w:spacing w:line="360" w:lineRule="auto"/>
        <w:ind w:firstLine="480" w:firstLineChars="200"/>
        <w:jc w:val="left"/>
        <w:rPr>
          <w:b/>
          <w:sz w:val="24"/>
          <w:szCs w:val="24"/>
        </w:rPr>
      </w:pPr>
      <w:r>
        <w:rPr>
          <w:rFonts w:ascii="宋体" w:hAnsi="宋体"/>
          <w:sz w:val="24"/>
          <w:szCs w:val="24"/>
        </w:rPr>
        <w:t>2</w:t>
      </w:r>
      <w:r>
        <w:rPr>
          <w:rFonts w:hint="eastAsia" w:ascii="宋体" w:hAnsi="宋体"/>
          <w:sz w:val="24"/>
          <w:szCs w:val="24"/>
        </w:rPr>
        <w:t>、我方承诺在服务期限内，按竞</w:t>
      </w:r>
      <w:r>
        <w:rPr>
          <w:rFonts w:hint="eastAsia" w:ascii="宋体" w:hAnsi="宋体" w:cs="宋体"/>
          <w:sz w:val="24"/>
          <w:szCs w:val="24"/>
        </w:rPr>
        <w:t>争性磋商文件的规定履行合同责任和义务</w:t>
      </w:r>
      <w:r>
        <w:rPr>
          <w:rFonts w:hint="eastAsia" w:ascii="宋体" w:hAnsi="宋体"/>
          <w:sz w:val="24"/>
          <w:szCs w:val="24"/>
        </w:rPr>
        <w:t>，实现服务目标。</w:t>
      </w:r>
    </w:p>
    <w:p w14:paraId="2CA97B07">
      <w:pPr>
        <w:spacing w:line="360" w:lineRule="auto"/>
        <w:ind w:firstLine="480" w:firstLineChars="200"/>
        <w:rPr>
          <w:rFonts w:ascii="宋体"/>
          <w:sz w:val="24"/>
          <w:szCs w:val="24"/>
        </w:rPr>
      </w:pPr>
      <w:r>
        <w:rPr>
          <w:rFonts w:ascii="宋体" w:hAnsi="宋体"/>
          <w:sz w:val="24"/>
          <w:szCs w:val="24"/>
        </w:rPr>
        <w:t>3</w:t>
      </w:r>
      <w:r>
        <w:rPr>
          <w:rFonts w:hint="eastAsia" w:ascii="宋体" w:hAnsi="宋体"/>
          <w:sz w:val="24"/>
          <w:szCs w:val="24"/>
        </w:rPr>
        <w:t>、我方承诺在竞争性磋商文件规定的投标有效期内不修改、撤销响应文件。</w:t>
      </w:r>
    </w:p>
    <w:p w14:paraId="7CE175E9">
      <w:pPr>
        <w:spacing w:line="360" w:lineRule="auto"/>
        <w:ind w:firstLine="480" w:firstLineChars="200"/>
        <w:rPr>
          <w:rFonts w:ascii="宋体"/>
          <w:sz w:val="24"/>
          <w:szCs w:val="24"/>
        </w:rPr>
      </w:pPr>
      <w:r>
        <w:rPr>
          <w:rFonts w:ascii="宋体" w:hAnsi="宋体"/>
          <w:sz w:val="24"/>
          <w:szCs w:val="24"/>
        </w:rPr>
        <w:t>4</w:t>
      </w:r>
      <w:r>
        <w:rPr>
          <w:rFonts w:hint="eastAsia" w:ascii="宋体" w:hAnsi="宋体"/>
          <w:sz w:val="24"/>
          <w:szCs w:val="24"/>
        </w:rPr>
        <w:t>、我方成交：</w:t>
      </w:r>
    </w:p>
    <w:p w14:paraId="70755896">
      <w:pPr>
        <w:spacing w:line="360" w:lineRule="auto"/>
        <w:ind w:firstLine="240" w:firstLineChars="100"/>
        <w:rPr>
          <w:rFonts w:asci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）我方承诺在收到成交通知书后，在成交通知书规定的期限内与你方签订合同。</w:t>
      </w:r>
    </w:p>
    <w:p w14:paraId="60D476E4">
      <w:pPr>
        <w:spacing w:line="360" w:lineRule="auto"/>
        <w:ind w:firstLine="240" w:firstLineChars="100"/>
        <w:rPr>
          <w:rFonts w:asci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）我方将严格履行本响应文件中的全部承诺和责任，并遵守竞争性磋商文件中对投标单位的所有规定。</w:t>
      </w:r>
    </w:p>
    <w:p w14:paraId="51E1E12B">
      <w:pPr>
        <w:spacing w:line="360" w:lineRule="auto"/>
        <w:ind w:firstLine="480" w:firstLineChars="200"/>
        <w:rPr>
          <w:rFonts w:ascii="宋体"/>
          <w:sz w:val="24"/>
          <w:szCs w:val="24"/>
        </w:rPr>
      </w:pPr>
      <w:r>
        <w:rPr>
          <w:rFonts w:ascii="宋体" w:hAnsi="宋体"/>
          <w:sz w:val="24"/>
          <w:szCs w:val="24"/>
        </w:rPr>
        <w:t>5</w:t>
      </w:r>
      <w:r>
        <w:rPr>
          <w:rFonts w:hint="eastAsia" w:ascii="宋体" w:hAnsi="宋体"/>
          <w:sz w:val="24"/>
          <w:szCs w:val="24"/>
        </w:rPr>
        <w:t>、我方在此声明，所递交的响应文件及有关资料内容完整、真实和准确。</w:t>
      </w:r>
      <w:r>
        <w:rPr>
          <w:rFonts w:ascii="宋体" w:hAnsi="宋体"/>
          <w:sz w:val="24"/>
          <w:szCs w:val="24"/>
        </w:rPr>
        <w:t xml:space="preserve">  </w:t>
      </w:r>
    </w:p>
    <w:p w14:paraId="61880E61">
      <w:pPr>
        <w:spacing w:line="360" w:lineRule="auto"/>
        <w:ind w:firstLine="480" w:firstLineChars="200"/>
        <w:rPr>
          <w:rFonts w:ascii="宋体"/>
          <w:sz w:val="24"/>
          <w:szCs w:val="24"/>
        </w:rPr>
      </w:pPr>
      <w:r>
        <w:rPr>
          <w:rFonts w:ascii="宋体" w:hAnsi="宋体"/>
          <w:sz w:val="24"/>
          <w:szCs w:val="24"/>
        </w:rPr>
        <w:t>6</w:t>
      </w:r>
      <w:r>
        <w:rPr>
          <w:rFonts w:hint="eastAsia" w:ascii="宋体" w:hAnsi="宋体"/>
          <w:sz w:val="24"/>
          <w:szCs w:val="24"/>
        </w:rPr>
        <w:t>、</w:t>
      </w:r>
      <w:r>
        <w:rPr>
          <w:rFonts w:ascii="宋体" w:hAnsi="宋体"/>
          <w:sz w:val="24"/>
          <w:szCs w:val="24"/>
          <w:u w:val="single"/>
        </w:rPr>
        <w:t xml:space="preserve">                                       </w:t>
      </w:r>
      <w:r>
        <w:rPr>
          <w:rFonts w:hint="eastAsia" w:ascii="宋体" w:hAnsi="宋体"/>
          <w:sz w:val="24"/>
          <w:szCs w:val="24"/>
        </w:rPr>
        <w:t>（其他补充说明）。</w:t>
      </w:r>
    </w:p>
    <w:p w14:paraId="3B9C7E53">
      <w:pPr>
        <w:pStyle w:val="111"/>
        <w:tabs>
          <w:tab w:val="left" w:pos="5665"/>
          <w:tab w:val="right" w:pos="8360"/>
        </w:tabs>
        <w:spacing w:line="360" w:lineRule="auto"/>
        <w:ind w:right="42" w:firstLine="1560" w:firstLineChars="650"/>
        <w:rPr>
          <w:rFonts w:hint="eastAsia" w:hAnsi="宋体" w:cs="宋体"/>
          <w:sz w:val="24"/>
        </w:rPr>
      </w:pPr>
    </w:p>
    <w:p w14:paraId="7DA6FCE2">
      <w:pPr>
        <w:pStyle w:val="111"/>
        <w:tabs>
          <w:tab w:val="left" w:pos="5665"/>
          <w:tab w:val="right" w:pos="8360"/>
        </w:tabs>
        <w:spacing w:line="360" w:lineRule="auto"/>
        <w:ind w:right="42" w:firstLine="480" w:firstLineChars="200"/>
        <w:jc w:val="left"/>
        <w:rPr>
          <w:rFonts w:hint="eastAsia" w:hAnsi="宋体" w:cs="宋体"/>
          <w:sz w:val="24"/>
          <w:u w:val="single"/>
        </w:rPr>
      </w:pPr>
      <w:r>
        <w:rPr>
          <w:rFonts w:hint="eastAsia" w:hAnsi="宋体" w:cs="宋体"/>
          <w:sz w:val="24"/>
        </w:rPr>
        <w:t>竞争性磋商响应单位（公章</w:t>
      </w:r>
      <w:r>
        <w:rPr>
          <w:rFonts w:hAnsi="宋体" w:cs="宋体"/>
          <w:sz w:val="24"/>
        </w:rPr>
        <w:t>)</w:t>
      </w:r>
      <w:r>
        <w:rPr>
          <w:rFonts w:hint="eastAsia" w:hAnsi="宋体" w:cs="宋体"/>
          <w:sz w:val="24"/>
        </w:rPr>
        <w:t>：</w:t>
      </w:r>
      <w:r>
        <w:rPr>
          <w:rFonts w:hAnsi="宋体" w:cs="宋体"/>
          <w:sz w:val="24"/>
          <w:u w:val="single"/>
        </w:rPr>
        <w:t xml:space="preserve">                                  </w:t>
      </w:r>
    </w:p>
    <w:p w14:paraId="0A4055ED">
      <w:pPr>
        <w:pStyle w:val="111"/>
        <w:tabs>
          <w:tab w:val="left" w:pos="5665"/>
          <w:tab w:val="right" w:pos="8360"/>
        </w:tabs>
        <w:spacing w:line="360" w:lineRule="auto"/>
        <w:ind w:right="42"/>
        <w:rPr>
          <w:rFonts w:hint="eastAsia" w:hAnsi="宋体" w:cs="宋体"/>
          <w:sz w:val="24"/>
          <w:u w:val="single"/>
        </w:rPr>
      </w:pPr>
    </w:p>
    <w:p w14:paraId="612D2742">
      <w:pPr>
        <w:pStyle w:val="111"/>
        <w:tabs>
          <w:tab w:val="left" w:pos="5665"/>
          <w:tab w:val="right" w:pos="8360"/>
        </w:tabs>
        <w:spacing w:line="360" w:lineRule="auto"/>
        <w:ind w:right="42" w:firstLine="480" w:firstLineChars="200"/>
        <w:rPr>
          <w:rFonts w:hint="eastAsia" w:hAnsi="宋体" w:cs="宋体"/>
          <w:sz w:val="24"/>
          <w:u w:val="single"/>
        </w:rPr>
      </w:pPr>
      <w:r>
        <w:rPr>
          <w:rFonts w:hint="eastAsia" w:hAnsi="宋体" w:cs="宋体"/>
          <w:sz w:val="24"/>
        </w:rPr>
        <w:t>法定代表人或</w:t>
      </w:r>
      <w:r>
        <w:rPr>
          <w:rFonts w:hint="eastAsia" w:hAnsi="宋体" w:cs="仿宋_GB2312"/>
          <w:sz w:val="24"/>
        </w:rPr>
        <w:t>被授权人（签字或盖章）</w:t>
      </w:r>
      <w:r>
        <w:rPr>
          <w:rFonts w:hint="eastAsia" w:hAnsi="宋体" w:cs="宋体"/>
          <w:sz w:val="24"/>
        </w:rPr>
        <w:t>：</w:t>
      </w:r>
      <w:r>
        <w:rPr>
          <w:rFonts w:hAnsi="宋体" w:cs="宋体"/>
          <w:sz w:val="24"/>
          <w:u w:val="single"/>
        </w:rPr>
        <w:t xml:space="preserve">               </w:t>
      </w:r>
      <w:r>
        <w:rPr>
          <w:rFonts w:hAnsi="宋体" w:cs="宋体"/>
          <w:sz w:val="24"/>
        </w:rPr>
        <w:t xml:space="preserve">   </w:t>
      </w:r>
    </w:p>
    <w:p w14:paraId="1C47F7BB">
      <w:pPr>
        <w:pStyle w:val="111"/>
        <w:tabs>
          <w:tab w:val="left" w:pos="5665"/>
          <w:tab w:val="right" w:pos="8360"/>
        </w:tabs>
        <w:spacing w:line="360" w:lineRule="auto"/>
        <w:ind w:right="42"/>
        <w:rPr>
          <w:rFonts w:hint="eastAsia" w:hAnsi="宋体" w:cs="宋体"/>
          <w:sz w:val="24"/>
        </w:rPr>
      </w:pPr>
    </w:p>
    <w:p w14:paraId="0FF771DD">
      <w:pPr>
        <w:pStyle w:val="111"/>
        <w:tabs>
          <w:tab w:val="left" w:pos="5665"/>
          <w:tab w:val="right" w:pos="8360"/>
        </w:tabs>
        <w:spacing w:line="360" w:lineRule="auto"/>
        <w:ind w:right="42" w:firstLine="480" w:firstLineChars="200"/>
        <w:jc w:val="left"/>
        <w:rPr>
          <w:rFonts w:hint="eastAsia" w:hAnsi="宋体" w:cs="宋体"/>
          <w:szCs w:val="28"/>
          <w:u w:val="single"/>
        </w:rPr>
      </w:pPr>
      <w:r>
        <w:rPr>
          <w:rFonts w:hint="eastAsia" w:hAnsi="宋体" w:cs="宋体"/>
          <w:sz w:val="24"/>
        </w:rPr>
        <w:t>日</w:t>
      </w:r>
      <w:r>
        <w:rPr>
          <w:rFonts w:hAnsi="宋体" w:cs="宋体"/>
          <w:sz w:val="24"/>
        </w:rPr>
        <w:t xml:space="preserve">    </w:t>
      </w:r>
      <w:r>
        <w:rPr>
          <w:rFonts w:hint="eastAsia" w:hAnsi="宋体" w:cs="宋体"/>
          <w:sz w:val="24"/>
        </w:rPr>
        <w:t>期：</w:t>
      </w:r>
      <w:r>
        <w:rPr>
          <w:rFonts w:hAnsi="宋体" w:cs="宋体"/>
          <w:sz w:val="24"/>
          <w:u w:val="single"/>
        </w:rPr>
        <w:t xml:space="preserve">                                     </w:t>
      </w:r>
      <w:r>
        <w:rPr>
          <w:rFonts w:hAnsi="宋体" w:cs="宋体"/>
          <w:szCs w:val="28"/>
          <w:u w:val="single"/>
        </w:rPr>
        <w:t xml:space="preserve">  </w:t>
      </w:r>
    </w:p>
    <w:p w14:paraId="22D7F637">
      <w:pPr>
        <w:pStyle w:val="111"/>
        <w:tabs>
          <w:tab w:val="left" w:pos="5665"/>
          <w:tab w:val="right" w:pos="8360"/>
        </w:tabs>
        <w:spacing w:line="360" w:lineRule="auto"/>
        <w:ind w:right="42" w:firstLine="560" w:firstLineChars="200"/>
        <w:jc w:val="left"/>
        <w:rPr>
          <w:rFonts w:hint="eastAsia" w:hAnsi="宋体" w:cs="宋体"/>
          <w:szCs w:val="28"/>
          <w:u w:val="single"/>
        </w:rPr>
      </w:pPr>
    </w:p>
    <w:p w14:paraId="520D6808">
      <w:pPr>
        <w:pStyle w:val="111"/>
        <w:tabs>
          <w:tab w:val="left" w:pos="5665"/>
          <w:tab w:val="right" w:pos="8360"/>
        </w:tabs>
        <w:spacing w:line="360" w:lineRule="auto"/>
        <w:ind w:right="42" w:firstLine="560" w:firstLineChars="200"/>
        <w:jc w:val="left"/>
        <w:rPr>
          <w:rFonts w:hint="eastAsia" w:hAnsi="宋体" w:cs="宋体"/>
          <w:szCs w:val="28"/>
          <w:u w:val="single"/>
        </w:rPr>
      </w:pPr>
    </w:p>
    <w:p w14:paraId="675CE2C1">
      <w:pPr>
        <w:pStyle w:val="111"/>
        <w:tabs>
          <w:tab w:val="left" w:pos="5665"/>
          <w:tab w:val="right" w:pos="8360"/>
        </w:tabs>
        <w:spacing w:line="360" w:lineRule="auto"/>
        <w:ind w:right="42" w:firstLine="560" w:firstLineChars="200"/>
        <w:jc w:val="left"/>
        <w:rPr>
          <w:rFonts w:hint="eastAsia" w:hAnsi="宋体" w:cs="宋体"/>
          <w:szCs w:val="28"/>
          <w:u w:val="single"/>
        </w:rPr>
      </w:pPr>
    </w:p>
    <w:p w14:paraId="7173FCDF">
      <w:pPr>
        <w:pStyle w:val="111"/>
        <w:tabs>
          <w:tab w:val="left" w:pos="5665"/>
          <w:tab w:val="right" w:pos="8360"/>
        </w:tabs>
        <w:spacing w:line="360" w:lineRule="auto"/>
        <w:ind w:right="42" w:firstLine="560" w:firstLineChars="200"/>
        <w:jc w:val="left"/>
        <w:rPr>
          <w:rFonts w:hint="eastAsia" w:hAnsi="宋体" w:cs="宋体"/>
          <w:szCs w:val="28"/>
          <w:u w:val="single"/>
        </w:rPr>
      </w:pPr>
    </w:p>
    <w:p w14:paraId="09B8F365">
      <w:pPr>
        <w:spacing w:line="360" w:lineRule="auto"/>
        <w:jc w:val="center"/>
        <w:rPr>
          <w:rFonts w:hint="eastAsia" w:ascii="宋体" w:hAnsi="宋体" w:cs="宋体"/>
          <w:b/>
          <w:sz w:val="28"/>
          <w:szCs w:val="28"/>
        </w:rPr>
      </w:pPr>
      <w:r>
        <w:rPr>
          <w:rFonts w:ascii="宋体" w:hAnsi="宋体" w:cs="宋体"/>
          <w:b/>
          <w:sz w:val="28"/>
          <w:szCs w:val="28"/>
        </w:rPr>
        <w:t>8</w:t>
      </w:r>
      <w:r>
        <w:rPr>
          <w:rFonts w:hint="eastAsia" w:ascii="宋体" w:hAnsi="宋体" w:cs="宋体"/>
          <w:b/>
          <w:sz w:val="28"/>
          <w:szCs w:val="28"/>
        </w:rPr>
        <w:t>、磋商响应报价明细表（格式自拟）</w:t>
      </w:r>
    </w:p>
    <w:p w14:paraId="175E3140">
      <w:pPr>
        <w:spacing w:line="360" w:lineRule="auto"/>
        <w:ind w:firstLine="1320" w:firstLineChars="550"/>
        <w:jc w:val="center"/>
        <w:rPr>
          <w:rFonts w:hint="eastAsia" w:hAnsi="宋体" w:cs="宋体"/>
          <w:sz w:val="24"/>
        </w:rPr>
      </w:pPr>
    </w:p>
    <w:p w14:paraId="139429A3">
      <w:pPr>
        <w:pStyle w:val="111"/>
        <w:tabs>
          <w:tab w:val="left" w:pos="5665"/>
          <w:tab w:val="right" w:pos="8360"/>
        </w:tabs>
        <w:spacing w:line="360" w:lineRule="auto"/>
        <w:ind w:right="42" w:firstLine="482" w:firstLineChars="200"/>
        <w:jc w:val="left"/>
        <w:rPr>
          <w:rFonts w:cs="宋体"/>
          <w:b/>
          <w:bCs/>
          <w:kern w:val="0"/>
          <w:sz w:val="24"/>
        </w:rPr>
      </w:pPr>
    </w:p>
    <w:p w14:paraId="360E0D56">
      <w:pPr>
        <w:pStyle w:val="111"/>
        <w:tabs>
          <w:tab w:val="left" w:pos="5665"/>
          <w:tab w:val="right" w:pos="8360"/>
        </w:tabs>
        <w:spacing w:line="360" w:lineRule="auto"/>
        <w:ind w:right="42" w:firstLine="482" w:firstLineChars="200"/>
        <w:jc w:val="left"/>
        <w:rPr>
          <w:rFonts w:cs="宋体"/>
          <w:b/>
          <w:bCs/>
          <w:kern w:val="0"/>
          <w:sz w:val="24"/>
        </w:rPr>
      </w:pPr>
      <w:r>
        <w:rPr>
          <w:rFonts w:hint="eastAsia" w:cs="宋体"/>
          <w:b/>
          <w:bCs/>
          <w:kern w:val="0"/>
          <w:sz w:val="24"/>
        </w:rPr>
        <w:t>特别提醒：本次项目需要分开进行明细报价，租赁设备按年进行报价。</w:t>
      </w:r>
    </w:p>
    <w:p w14:paraId="54225BC8">
      <w:pPr>
        <w:pStyle w:val="111"/>
        <w:tabs>
          <w:tab w:val="left" w:pos="5665"/>
          <w:tab w:val="right" w:pos="8360"/>
        </w:tabs>
        <w:spacing w:line="360" w:lineRule="auto"/>
        <w:ind w:right="42" w:firstLine="482" w:firstLineChars="200"/>
        <w:jc w:val="left"/>
        <w:rPr>
          <w:rFonts w:cs="宋体"/>
          <w:b/>
          <w:bCs/>
          <w:kern w:val="0"/>
          <w:sz w:val="24"/>
        </w:rPr>
      </w:pPr>
    </w:p>
    <w:p w14:paraId="4527E2B2">
      <w:pPr>
        <w:pStyle w:val="111"/>
        <w:tabs>
          <w:tab w:val="left" w:pos="5665"/>
          <w:tab w:val="right" w:pos="8360"/>
        </w:tabs>
        <w:spacing w:line="360" w:lineRule="auto"/>
        <w:ind w:right="42" w:firstLine="482" w:firstLineChars="200"/>
        <w:jc w:val="left"/>
        <w:rPr>
          <w:rFonts w:cs="宋体"/>
          <w:b/>
          <w:bCs/>
          <w:kern w:val="0"/>
          <w:sz w:val="24"/>
        </w:rPr>
      </w:pPr>
    </w:p>
    <w:p w14:paraId="263094BE">
      <w:pPr>
        <w:pStyle w:val="111"/>
        <w:tabs>
          <w:tab w:val="left" w:pos="5665"/>
          <w:tab w:val="right" w:pos="8360"/>
        </w:tabs>
        <w:spacing w:line="360" w:lineRule="auto"/>
        <w:ind w:right="42" w:firstLine="482" w:firstLineChars="200"/>
        <w:jc w:val="left"/>
        <w:rPr>
          <w:rFonts w:cs="宋体"/>
          <w:b/>
          <w:bCs/>
          <w:kern w:val="0"/>
          <w:sz w:val="24"/>
        </w:rPr>
      </w:pPr>
    </w:p>
    <w:p w14:paraId="30C6FAD7">
      <w:pPr>
        <w:pStyle w:val="111"/>
        <w:tabs>
          <w:tab w:val="left" w:pos="5665"/>
          <w:tab w:val="right" w:pos="8360"/>
        </w:tabs>
        <w:spacing w:line="360" w:lineRule="auto"/>
        <w:ind w:right="42" w:firstLine="482" w:firstLineChars="200"/>
        <w:jc w:val="left"/>
        <w:rPr>
          <w:rFonts w:cs="宋体"/>
          <w:b/>
          <w:bCs/>
          <w:kern w:val="0"/>
          <w:sz w:val="24"/>
        </w:rPr>
      </w:pPr>
    </w:p>
    <w:p w14:paraId="5C91DE53">
      <w:pPr>
        <w:pStyle w:val="111"/>
        <w:tabs>
          <w:tab w:val="left" w:pos="5665"/>
          <w:tab w:val="right" w:pos="8360"/>
        </w:tabs>
        <w:spacing w:line="360" w:lineRule="auto"/>
        <w:ind w:right="42" w:firstLine="482" w:firstLineChars="200"/>
        <w:jc w:val="left"/>
        <w:rPr>
          <w:rFonts w:cs="宋体"/>
          <w:b/>
          <w:bCs/>
          <w:kern w:val="0"/>
          <w:sz w:val="24"/>
        </w:rPr>
      </w:pPr>
    </w:p>
    <w:p w14:paraId="630AF649">
      <w:pPr>
        <w:pStyle w:val="111"/>
        <w:tabs>
          <w:tab w:val="left" w:pos="5665"/>
          <w:tab w:val="right" w:pos="8360"/>
        </w:tabs>
        <w:spacing w:line="360" w:lineRule="auto"/>
        <w:ind w:right="42" w:firstLine="482" w:firstLineChars="200"/>
        <w:jc w:val="center"/>
        <w:rPr>
          <w:rFonts w:cs="宋体"/>
          <w:b/>
          <w:bCs/>
          <w:kern w:val="0"/>
          <w:sz w:val="24"/>
        </w:rPr>
      </w:pPr>
      <w:r>
        <w:rPr>
          <w:rFonts w:hint="eastAsia" w:hAnsi="宋体" w:cs="宋体"/>
          <w:b/>
          <w:bCs/>
          <w:kern w:val="0"/>
          <w:sz w:val="24"/>
        </w:rPr>
        <w:t>．．．．．．正文结束．．．．．．</w:t>
      </w:r>
    </w:p>
    <w:p w14:paraId="36972A15">
      <w:pPr>
        <w:pStyle w:val="111"/>
        <w:tabs>
          <w:tab w:val="left" w:pos="5665"/>
          <w:tab w:val="right" w:pos="8360"/>
        </w:tabs>
        <w:spacing w:line="360" w:lineRule="auto"/>
        <w:ind w:right="42" w:firstLine="482" w:firstLineChars="200"/>
        <w:jc w:val="left"/>
        <w:rPr>
          <w:rFonts w:cs="宋体"/>
          <w:b/>
          <w:bCs/>
          <w:kern w:val="0"/>
          <w:sz w:val="24"/>
        </w:rPr>
      </w:pPr>
    </w:p>
    <w:p w14:paraId="6036401E">
      <w:pPr>
        <w:pStyle w:val="111"/>
        <w:tabs>
          <w:tab w:val="left" w:pos="5665"/>
          <w:tab w:val="right" w:pos="8360"/>
        </w:tabs>
        <w:spacing w:line="360" w:lineRule="auto"/>
        <w:ind w:right="42" w:firstLine="482" w:firstLineChars="200"/>
        <w:jc w:val="left"/>
        <w:rPr>
          <w:rFonts w:cs="宋体"/>
          <w:b/>
          <w:bCs/>
          <w:kern w:val="0"/>
          <w:sz w:val="24"/>
        </w:rPr>
      </w:pPr>
    </w:p>
    <w:p w14:paraId="1C46AC99">
      <w:pPr>
        <w:pStyle w:val="111"/>
        <w:tabs>
          <w:tab w:val="left" w:pos="5665"/>
          <w:tab w:val="right" w:pos="8360"/>
        </w:tabs>
        <w:spacing w:line="360" w:lineRule="auto"/>
        <w:ind w:right="42" w:firstLine="482" w:firstLineChars="200"/>
        <w:jc w:val="left"/>
        <w:rPr>
          <w:rFonts w:cs="宋体"/>
          <w:b/>
          <w:bCs/>
          <w:kern w:val="0"/>
          <w:sz w:val="24"/>
        </w:rPr>
      </w:pPr>
    </w:p>
    <w:sectPr>
      <w:headerReference r:id="rId8" w:type="first"/>
      <w:footerReference r:id="rId10" w:type="first"/>
      <w:headerReference r:id="rId7" w:type="default"/>
      <w:footerReference r:id="rId9"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时尚中黑简体">
    <w:altName w:val="黑体"/>
    <w:panose1 w:val="00000000000000000000"/>
    <w:charset w:val="86"/>
    <w:family w:val="auto"/>
    <w:pitch w:val="default"/>
    <w:sig w:usb0="00000000" w:usb1="00000000" w:usb2="00000012" w:usb3="00000000" w:csb0="00040001" w:csb1="00000000"/>
  </w:font>
  <w:font w:name="华文中宋">
    <w:panose1 w:val="02010600040101010101"/>
    <w:charset w:val="86"/>
    <w:family w:val="auto"/>
    <w:pitch w:val="default"/>
    <w:sig w:usb0="00000287" w:usb1="080F0000" w:usb2="00000000" w:usb3="00000000" w:csb0="0004009F" w:csb1="DFD70000"/>
  </w:font>
  <w:font w:name="Plotter">
    <w:altName w:val="Times New Roman"/>
    <w:panose1 w:val="00000000000000000000"/>
    <w:charset w:val="00"/>
    <w:family w:val="roman"/>
    <w:pitch w:val="default"/>
    <w:sig w:usb0="00000000" w:usb1="00000000" w:usb2="00000000" w:usb3="00000000" w:csb0="00000003" w:csb1="0012CEFC"/>
  </w:font>
  <w:font w:name="Arial Unicode MS">
    <w:altName w:val="宋体"/>
    <w:panose1 w:val="020B0604020202020204"/>
    <w:charset w:val="86"/>
    <w:family w:val="swiss"/>
    <w:pitch w:val="default"/>
    <w:sig w:usb0="00000000" w:usb1="00000000" w:usb2="0000003F" w:usb3="00000000" w:csb0="003F01FF" w:csb1="00000000"/>
  </w:font>
  <w:font w:name="Arial Narrow">
    <w:panose1 w:val="020B0606020202030204"/>
    <w:charset w:val="00"/>
    <w:family w:val="swiss"/>
    <w:pitch w:val="default"/>
    <w:sig w:usb0="00000287" w:usb1="000008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2575B">
    <w:pPr>
      <w:pStyle w:val="3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47650" cy="131445"/>
              <wp:effectExtent l="0" t="0" r="0" b="0"/>
              <wp:wrapNone/>
              <wp:docPr id="1" name="文本框 2"/>
              <wp:cNvGraphicFramePr/>
              <a:graphic xmlns:a="http://schemas.openxmlformats.org/drawingml/2006/main">
                <a:graphicData uri="http://schemas.microsoft.com/office/word/2010/wordprocessingShape">
                  <wps:wsp>
                    <wps:cNvSpPr txBox="1"/>
                    <wps:spPr>
                      <a:xfrm>
                        <a:off x="0" y="0"/>
                        <a:ext cx="247650" cy="131445"/>
                      </a:xfrm>
                      <a:prstGeom prst="rect">
                        <a:avLst/>
                      </a:prstGeom>
                      <a:noFill/>
                      <a:ln>
                        <a:noFill/>
                      </a:ln>
                      <a:effectLst/>
                    </wps:spPr>
                    <wps:txbx>
                      <w:txbxContent>
                        <w:p w14:paraId="729DFC9E">
                          <w:pPr>
                            <w:pStyle w:val="34"/>
                            <w:jc w:val="center"/>
                          </w:pPr>
                          <w:r>
                            <w:rPr>
                              <w:lang w:val="zh-CN"/>
                            </w:rPr>
                            <w:t xml:space="preserve"> </w:t>
                          </w:r>
                          <w:r>
                            <w:rPr>
                              <w:b/>
                              <w:bCs/>
                            </w:rPr>
                            <w:fldChar w:fldCharType="begin"/>
                          </w:r>
                          <w:r>
                            <w:rPr>
                              <w:b/>
                              <w:bCs/>
                            </w:rPr>
                            <w:instrText xml:space="preserve">PAGE</w:instrText>
                          </w:r>
                          <w:r>
                            <w:rPr>
                              <w:b/>
                              <w:bCs/>
                            </w:rPr>
                            <w:fldChar w:fldCharType="separate"/>
                          </w:r>
                          <w:r>
                            <w:rPr>
                              <w:b/>
                              <w:bCs/>
                            </w:rPr>
                            <w:t>- 9 -</w:t>
                          </w:r>
                          <w:r>
                            <w:rPr>
                              <w:b/>
                              <w:bCs/>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0.35pt;width:19.5pt;mso-position-horizontal:center;mso-position-horizontal-relative:margin;mso-wrap-style:none;z-index:251659264;mso-width-relative:page;mso-height-relative:page;" filled="f" stroked="f" coordsize="21600,21600" o:gfxdata="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V7FI4NAAAAADAQAADwAAAAAAAAABACAAAAAiAAAAZHJz&#10;L2Rvd25yZXYueG1sUEsBAhQAFAAAAAgAh07iQK3lSa/TAQAApQMAAA4AAAAAAAAAAQAgAAAAHwEA&#10;AGRycy9lMm9Eb2MueG1sUEsFBgAAAAAGAAYAWQEAAGQFAAAAAA==&#10;">
              <v:fill on="f" focussize="0,0"/>
              <v:stroke on="f"/>
              <v:imagedata o:title=""/>
              <o:lock v:ext="edit" aspectratio="f"/>
              <v:textbox inset="0mm,0mm,0mm,0mm" style="mso-fit-shape-to-text:t;">
                <w:txbxContent>
                  <w:p w14:paraId="729DFC9E">
                    <w:pPr>
                      <w:pStyle w:val="34"/>
                      <w:jc w:val="center"/>
                    </w:pPr>
                    <w:r>
                      <w:rPr>
                        <w:lang w:val="zh-CN"/>
                      </w:rPr>
                      <w:t xml:space="preserve"> </w:t>
                    </w:r>
                    <w:r>
                      <w:rPr>
                        <w:b/>
                        <w:bCs/>
                      </w:rPr>
                      <w:fldChar w:fldCharType="begin"/>
                    </w:r>
                    <w:r>
                      <w:rPr>
                        <w:b/>
                        <w:bCs/>
                      </w:rPr>
                      <w:instrText xml:space="preserve">PAGE</w:instrText>
                    </w:r>
                    <w:r>
                      <w:rPr>
                        <w:b/>
                        <w:bCs/>
                      </w:rPr>
                      <w:fldChar w:fldCharType="separate"/>
                    </w:r>
                    <w:r>
                      <w:rPr>
                        <w:b/>
                        <w:bCs/>
                      </w:rPr>
                      <w:t>- 9 -</w:t>
                    </w:r>
                    <w:r>
                      <w:rPr>
                        <w:b/>
                        <w:bCs/>
                      </w:rPr>
                      <w:fldChar w:fldCharType="end"/>
                    </w:r>
                  </w:p>
                </w:txbxContent>
              </v:textbox>
            </v:shape>
          </w:pict>
        </mc:Fallback>
      </mc:AlternateContent>
    </w:r>
  </w:p>
  <w:p w14:paraId="4B7DE552">
    <w:pPr>
      <w:pStyle w:val="3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76EDC">
    <w:pPr>
      <w:pStyle w:val="34"/>
      <w:framePr w:wrap="around" w:vAnchor="text" w:hAnchor="margin" w:xAlign="right" w:y="1"/>
      <w:rPr>
        <w:rStyle w:val="61"/>
      </w:rPr>
    </w:pPr>
    <w:r>
      <w:rPr>
        <w:rStyle w:val="61"/>
      </w:rPr>
      <w:fldChar w:fldCharType="begin"/>
    </w:r>
    <w:r>
      <w:rPr>
        <w:rStyle w:val="61"/>
      </w:rPr>
      <w:instrText xml:space="preserve">PAGE  </w:instrText>
    </w:r>
    <w:r>
      <w:rPr>
        <w:rStyle w:val="61"/>
      </w:rPr>
      <w:fldChar w:fldCharType="end"/>
    </w:r>
  </w:p>
  <w:p w14:paraId="27B4BFF8">
    <w:pPr>
      <w:pStyle w:val="3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AEA43">
    <w:pPr>
      <w:pStyle w:val="34"/>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90500" cy="131445"/>
              <wp:effectExtent l="0" t="0" r="0" b="0"/>
              <wp:wrapNone/>
              <wp:docPr id="2" name="文本框 3"/>
              <wp:cNvGraphicFramePr/>
              <a:graphic xmlns:a="http://schemas.openxmlformats.org/drawingml/2006/main">
                <a:graphicData uri="http://schemas.microsoft.com/office/word/2010/wordprocessingShape">
                  <wps:wsp>
                    <wps:cNvSpPr txBox="1"/>
                    <wps:spPr>
                      <a:xfrm>
                        <a:off x="0" y="0"/>
                        <a:ext cx="190500" cy="131445"/>
                      </a:xfrm>
                      <a:prstGeom prst="rect">
                        <a:avLst/>
                      </a:prstGeom>
                      <a:noFill/>
                      <a:ln>
                        <a:noFill/>
                      </a:ln>
                      <a:effectLst/>
                    </wps:spPr>
                    <wps:txbx>
                      <w:txbxContent>
                        <w:p w14:paraId="63E6EBAB">
                          <w:pPr>
                            <w:pStyle w:val="34"/>
                            <w:jc w:val="center"/>
                          </w:pPr>
                          <w:r>
                            <w:fldChar w:fldCharType="begin"/>
                          </w:r>
                          <w:r>
                            <w:instrText xml:space="preserve">PAGE   \* MERGEFORMAT</w:instrText>
                          </w:r>
                          <w:r>
                            <w:fldChar w:fldCharType="separate"/>
                          </w:r>
                          <w:r>
                            <w:rPr>
                              <w:lang w:val="zh-CN"/>
                            </w:rPr>
                            <w:t>36</w:t>
                          </w:r>
                          <w:r>
                            <w:rPr>
                              <w:lang w:val="zh-CN"/>
                            </w:rP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0.35pt;width:15pt;mso-position-horizontal:center;mso-position-horizontal-relative:margin;mso-wrap-style:none;z-index:251660288;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ipFLs0AAAAAMBAAAPAAAAAAAAAAEAIAAAACIAAABkcnMv&#10;ZG93bnJldi54bWxQSwECFAAUAAAACACHTuJAlCqAwtIBAAClAwAADgAAAAAAAAABACAAAAAfAQAA&#10;ZHJzL2Uyb0RvYy54bWxQSwUGAAAAAAYABgBZAQAAYwUAAAAA&#10;">
              <v:fill on="f" focussize="0,0"/>
              <v:stroke on="f"/>
              <v:imagedata o:title=""/>
              <o:lock v:ext="edit" aspectratio="f"/>
              <v:textbox inset="0mm,0mm,0mm,0mm" style="mso-fit-shape-to-text:t;">
                <w:txbxContent>
                  <w:p w14:paraId="63E6EBAB">
                    <w:pPr>
                      <w:pStyle w:val="34"/>
                      <w:jc w:val="center"/>
                    </w:pPr>
                    <w:r>
                      <w:fldChar w:fldCharType="begin"/>
                    </w:r>
                    <w:r>
                      <w:instrText xml:space="preserve">PAGE   \* MERGEFORMAT</w:instrText>
                    </w:r>
                    <w:r>
                      <w:fldChar w:fldCharType="separate"/>
                    </w:r>
                    <w:r>
                      <w:rPr>
                        <w:lang w:val="zh-CN"/>
                      </w:rPr>
                      <w:t>36</w:t>
                    </w:r>
                    <w:r>
                      <w:rPr>
                        <w:lang w:val="zh-CN"/>
                      </w:rPr>
                      <w:fldChar w:fldCharType="end"/>
                    </w:r>
                  </w:p>
                </w:txbxContent>
              </v:textbox>
            </v:shape>
          </w:pict>
        </mc:Fallback>
      </mc:AlternateContent>
    </w:r>
  </w:p>
  <w:p w14:paraId="1AA9EA3A">
    <w:pPr>
      <w:pStyle w:val="34"/>
      <w:wordWrap w:val="0"/>
      <w:ind w:right="180"/>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32A2D">
    <w:pPr>
      <w:pStyle w:val="122"/>
      <w:jc w:val="center"/>
      <w:rPr>
        <w:rStyle w:val="121"/>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9" name="文本框 4"/>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w="6350">
                        <a:noFill/>
                      </a:ln>
                      <a:effectLst/>
                    </wps:spPr>
                    <wps:txbx>
                      <w:txbxContent>
                        <w:p w14:paraId="45889BF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58</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2QkIP0QAAAAMBAAAPAAAAAAAAAAEAIAAAACIAAABkcnMvZG93bnJldi54bWxQ&#10;SwECFAAUAAAACACHTuJAAvQFWzcCAABhBAAADgAAAAAAAAABACAAAAAgAQAAZHJzL2Uyb0RvYy54&#10;bWxQSwUGAAAAAAYABgBZAQAAyQUAAAAA&#10;">
              <v:fill on="f" focussize="0,0"/>
              <v:stroke on="f" weight="0.5pt"/>
              <v:imagedata o:title=""/>
              <o:lock v:ext="edit" aspectratio="f"/>
              <v:textbox inset="0mm,0mm,0mm,0mm" style="mso-fit-shape-to-text:t;">
                <w:txbxContent>
                  <w:p w14:paraId="45889BF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58</w:t>
                    </w:r>
                    <w:r>
                      <w:rPr>
                        <w:rFonts w:hint="eastAsia"/>
                        <w:sz w:val="18"/>
                      </w:rPr>
                      <w:fldChar w:fldCharType="end"/>
                    </w:r>
                  </w:p>
                </w:txbxContent>
              </v:textbox>
            </v:shape>
          </w:pict>
        </mc:Fallback>
      </mc:AlternateContent>
    </w:r>
  </w:p>
  <w:p w14:paraId="3885F28A">
    <w:pPr>
      <w:pStyle w:val="122"/>
      <w:rPr>
        <w:rStyle w:val="12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62ACF">
    <w:pPr>
      <w:pStyle w:val="122"/>
      <w:jc w:val="center"/>
      <w:rPr>
        <w:rStyle w:val="121"/>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CD16AF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DMSwwAgAAZA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GgDMSwwAgAAZAQAAA4AAAAAAAAAAQAgAAAAHwEAAGRycy9lMm9Eb2MueG1sUEsFBgAA&#10;AAAGAAYAWQEAAMEFAAAAAA==&#10;">
              <v:fill on="f" focussize="0,0"/>
              <v:stroke on="f" weight="0.5pt"/>
              <v:imagedata o:title=""/>
              <o:lock v:ext="edit" aspectratio="f"/>
              <v:textbox inset="0mm,0mm,0mm,0mm" style="mso-fit-shape-to-text:t;">
                <w:txbxContent>
                  <w:p w14:paraId="0CD16AF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11</w:t>
                    </w:r>
                    <w:r>
                      <w:rPr>
                        <w:rFonts w:hint="eastAsia"/>
                        <w:sz w:val="18"/>
                      </w:rPr>
                      <w:fldChar w:fldCharType="end"/>
                    </w:r>
                  </w:p>
                </w:txbxContent>
              </v:textbox>
            </v:shape>
          </w:pict>
        </mc:Fallback>
      </mc:AlternateContent>
    </w:r>
  </w:p>
  <w:p w14:paraId="63F52409">
    <w:pPr>
      <w:pStyle w:val="122"/>
      <w:rPr>
        <w:rStyle w:val="1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E4EAA">
    <w:pPr>
      <w:pStyle w:val="3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69317">
    <w:pPr>
      <w:pStyle w:val="124"/>
      <w:pBdr>
        <w:bottom w:val="none" w:color="auto" w:sz="0" w:space="1"/>
      </w:pBdr>
      <w:jc w:val="both"/>
      <w:rPr>
        <w:rStyle w:val="1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6BB07">
    <w:pPr>
      <w:pStyle w:val="124"/>
      <w:jc w:val="both"/>
      <w:rPr>
        <w:rStyle w:val="121"/>
      </w:rPr>
    </w:pPr>
    <w:r>
      <w:rPr>
        <w:rStyle w:val="121"/>
        <w:rFonts w:hint="eastAsia" w:ascii="宋体" w:hAnsi="宋体"/>
        <w:b/>
        <w:bCs/>
      </w:rPr>
      <w:t>南通文化馆（群英馆）网络覆盖采购项目</w:t>
    </w:r>
    <w:r>
      <w:rPr>
        <w:rStyle w:val="121"/>
        <w:rFonts w:ascii="宋体" w:hAnsi="宋体"/>
        <w:b/>
        <w:bCs/>
      </w:rPr>
      <w:t xml:space="preserve">                                          </w:t>
    </w:r>
    <w:r>
      <w:rPr>
        <w:rStyle w:val="121"/>
        <w:rFonts w:hint="eastAsia" w:ascii="宋体" w:hAnsi="宋体"/>
        <w:b/>
        <w:bCs/>
      </w:rPr>
      <w:t xml:space="preserve">    </w:t>
    </w:r>
    <w:r>
      <w:rPr>
        <w:rStyle w:val="121"/>
        <w:rFonts w:ascii="宋体" w:hAnsi="宋体"/>
        <w:b/>
        <w:bCs/>
      </w:rPr>
      <w:t xml:space="preserve">  </w:t>
    </w:r>
    <w:r>
      <w:rPr>
        <w:rStyle w:val="121"/>
        <w:rFonts w:hint="eastAsia" w:ascii="宋体" w:hAnsi="宋体"/>
        <w:b/>
        <w:bCs/>
      </w:rPr>
      <w:t>招标采购</w:t>
    </w:r>
    <w:r>
      <w:rPr>
        <w:rStyle w:val="121"/>
        <w:rFonts w:ascii="宋体" w:hAnsi="宋体"/>
        <w:b/>
        <w:bCs/>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67497C"/>
    <w:multiLevelType w:val="multilevel"/>
    <w:tmpl w:val="0A67497C"/>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71458E0"/>
    <w:multiLevelType w:val="singleLevel"/>
    <w:tmpl w:val="571458E0"/>
    <w:lvl w:ilvl="0" w:tentative="0">
      <w:start w:val="2"/>
      <w:numFmt w:val="chineseCounting"/>
      <w:suff w:val="nothing"/>
      <w:lvlText w:val="%1、"/>
      <w:lvlJc w:val="left"/>
      <w:rPr>
        <w:rFonts w:cs="Times New Roman"/>
      </w:rPr>
    </w:lvl>
  </w:abstractNum>
  <w:abstractNum w:abstractNumId="2">
    <w:nsid w:val="572AE91F"/>
    <w:multiLevelType w:val="singleLevel"/>
    <w:tmpl w:val="572AE91F"/>
    <w:lvl w:ilvl="0" w:tentative="0">
      <w:start w:val="5"/>
      <w:numFmt w:val="chineseCounting"/>
      <w:suff w:val="space"/>
      <w:lvlText w:val="第%1章"/>
      <w:lvlJc w:val="left"/>
      <w:rPr>
        <w:rFonts w:cs="Times New Roman"/>
      </w:rPr>
    </w:lvl>
  </w:abstractNum>
  <w:abstractNum w:abstractNumId="3">
    <w:nsid w:val="5C4218EB"/>
    <w:multiLevelType w:val="multilevel"/>
    <w:tmpl w:val="5C4218EB"/>
    <w:lvl w:ilvl="0" w:tentative="0">
      <w:start w:val="1"/>
      <w:numFmt w:val="decimal"/>
      <w:lvlText w:val="(%1)"/>
      <w:lvlJc w:val="left"/>
      <w:pPr>
        <w:tabs>
          <w:tab w:val="left" w:pos="786"/>
        </w:tabs>
        <w:ind w:left="786" w:hanging="36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5E08300A"/>
    <w:multiLevelType w:val="multilevel"/>
    <w:tmpl w:val="5E08300A"/>
    <w:lvl w:ilvl="0" w:tentative="0">
      <w:start w:val="1"/>
      <w:numFmt w:val="upperLetter"/>
      <w:pStyle w:val="53"/>
      <w:lvlText w:val="%1．"/>
      <w:lvlJc w:val="left"/>
      <w:pPr>
        <w:tabs>
          <w:tab w:val="left" w:pos="720"/>
        </w:tabs>
        <w:ind w:left="720" w:hanging="720"/>
      </w:pPr>
    </w:lvl>
    <w:lvl w:ilvl="1" w:tentative="0">
      <w:start w:val="1"/>
      <w:numFmt w:val="decimal"/>
      <w:lvlText w:val="%2."/>
      <w:lvlJc w:val="left"/>
      <w:pPr>
        <w:tabs>
          <w:tab w:val="left" w:pos="780"/>
        </w:tabs>
        <w:ind w:left="78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4"/>
  </w:num>
  <w:num w:numId="2">
    <w:abstractNumId w:val="2"/>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4"/>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cwOTFhMjA3NzBhOTEzOGFiNGY2NzdmZDhhNTQyYjQifQ=="/>
  </w:docVars>
  <w:rsids>
    <w:rsidRoot w:val="00172A27"/>
    <w:rsid w:val="00002B1D"/>
    <w:rsid w:val="000031A7"/>
    <w:rsid w:val="00004A97"/>
    <w:rsid w:val="00004EB2"/>
    <w:rsid w:val="000105FB"/>
    <w:rsid w:val="00013181"/>
    <w:rsid w:val="00013E38"/>
    <w:rsid w:val="00033313"/>
    <w:rsid w:val="0003590B"/>
    <w:rsid w:val="00035D2D"/>
    <w:rsid w:val="0004413D"/>
    <w:rsid w:val="0004671A"/>
    <w:rsid w:val="00046C2C"/>
    <w:rsid w:val="00051FBD"/>
    <w:rsid w:val="00056872"/>
    <w:rsid w:val="0006408E"/>
    <w:rsid w:val="0006550A"/>
    <w:rsid w:val="00067914"/>
    <w:rsid w:val="00070079"/>
    <w:rsid w:val="000739F2"/>
    <w:rsid w:val="00074F1F"/>
    <w:rsid w:val="00075BB7"/>
    <w:rsid w:val="00075F9C"/>
    <w:rsid w:val="00076320"/>
    <w:rsid w:val="000774CB"/>
    <w:rsid w:val="00081C97"/>
    <w:rsid w:val="00084E77"/>
    <w:rsid w:val="00084ED2"/>
    <w:rsid w:val="00085976"/>
    <w:rsid w:val="00087A4F"/>
    <w:rsid w:val="00091CB2"/>
    <w:rsid w:val="000976BE"/>
    <w:rsid w:val="000A1E41"/>
    <w:rsid w:val="000A287C"/>
    <w:rsid w:val="000A2D57"/>
    <w:rsid w:val="000A3D3D"/>
    <w:rsid w:val="000B0080"/>
    <w:rsid w:val="000B06EB"/>
    <w:rsid w:val="000B0B7B"/>
    <w:rsid w:val="000B2717"/>
    <w:rsid w:val="000B3732"/>
    <w:rsid w:val="000B3EE0"/>
    <w:rsid w:val="000B4A07"/>
    <w:rsid w:val="000B761E"/>
    <w:rsid w:val="000C07B9"/>
    <w:rsid w:val="000C5747"/>
    <w:rsid w:val="000C6C7A"/>
    <w:rsid w:val="000D0464"/>
    <w:rsid w:val="000D4EAD"/>
    <w:rsid w:val="000E0162"/>
    <w:rsid w:val="000E0695"/>
    <w:rsid w:val="000E21A7"/>
    <w:rsid w:val="000E3C2B"/>
    <w:rsid w:val="000E49AE"/>
    <w:rsid w:val="000E6D5E"/>
    <w:rsid w:val="000E7991"/>
    <w:rsid w:val="000F070B"/>
    <w:rsid w:val="000F360E"/>
    <w:rsid w:val="000F4FF4"/>
    <w:rsid w:val="00107CC4"/>
    <w:rsid w:val="00110039"/>
    <w:rsid w:val="001101F3"/>
    <w:rsid w:val="00114143"/>
    <w:rsid w:val="001146F5"/>
    <w:rsid w:val="00116E34"/>
    <w:rsid w:val="00117AFF"/>
    <w:rsid w:val="0012185C"/>
    <w:rsid w:val="00122874"/>
    <w:rsid w:val="001300F2"/>
    <w:rsid w:val="001325F3"/>
    <w:rsid w:val="00133CC7"/>
    <w:rsid w:val="001346A1"/>
    <w:rsid w:val="00140261"/>
    <w:rsid w:val="00140514"/>
    <w:rsid w:val="00141B81"/>
    <w:rsid w:val="00141EA3"/>
    <w:rsid w:val="00143E15"/>
    <w:rsid w:val="00146A17"/>
    <w:rsid w:val="001509F6"/>
    <w:rsid w:val="0015417E"/>
    <w:rsid w:val="00154979"/>
    <w:rsid w:val="00155300"/>
    <w:rsid w:val="00161CCF"/>
    <w:rsid w:val="00162128"/>
    <w:rsid w:val="001627DA"/>
    <w:rsid w:val="00165567"/>
    <w:rsid w:val="0017024A"/>
    <w:rsid w:val="001702BC"/>
    <w:rsid w:val="001718A5"/>
    <w:rsid w:val="00172A27"/>
    <w:rsid w:val="00172FC4"/>
    <w:rsid w:val="00173291"/>
    <w:rsid w:val="00175192"/>
    <w:rsid w:val="00175AE9"/>
    <w:rsid w:val="00175EB4"/>
    <w:rsid w:val="0017761A"/>
    <w:rsid w:val="001804FF"/>
    <w:rsid w:val="00180C44"/>
    <w:rsid w:val="00181A02"/>
    <w:rsid w:val="001864A5"/>
    <w:rsid w:val="00186550"/>
    <w:rsid w:val="0019142E"/>
    <w:rsid w:val="00191AEB"/>
    <w:rsid w:val="0019336C"/>
    <w:rsid w:val="001A0A63"/>
    <w:rsid w:val="001A2F4B"/>
    <w:rsid w:val="001A32F5"/>
    <w:rsid w:val="001A354A"/>
    <w:rsid w:val="001A5F4C"/>
    <w:rsid w:val="001A6362"/>
    <w:rsid w:val="001A6BF9"/>
    <w:rsid w:val="001A7603"/>
    <w:rsid w:val="001B093D"/>
    <w:rsid w:val="001B32B4"/>
    <w:rsid w:val="001B557A"/>
    <w:rsid w:val="001C1357"/>
    <w:rsid w:val="001C1EBD"/>
    <w:rsid w:val="001C5BA3"/>
    <w:rsid w:val="001C7149"/>
    <w:rsid w:val="001D07D4"/>
    <w:rsid w:val="001D0A17"/>
    <w:rsid w:val="001D0CB4"/>
    <w:rsid w:val="001D3C78"/>
    <w:rsid w:val="001D49B7"/>
    <w:rsid w:val="001D6266"/>
    <w:rsid w:val="001D67FC"/>
    <w:rsid w:val="001D6FF3"/>
    <w:rsid w:val="001D7BBA"/>
    <w:rsid w:val="001E3534"/>
    <w:rsid w:val="001E380C"/>
    <w:rsid w:val="001E528E"/>
    <w:rsid w:val="001E6834"/>
    <w:rsid w:val="001F071A"/>
    <w:rsid w:val="001F19A2"/>
    <w:rsid w:val="001F3DA8"/>
    <w:rsid w:val="001F699D"/>
    <w:rsid w:val="002013D1"/>
    <w:rsid w:val="00202B9D"/>
    <w:rsid w:val="00203839"/>
    <w:rsid w:val="00207784"/>
    <w:rsid w:val="00207838"/>
    <w:rsid w:val="00207F85"/>
    <w:rsid w:val="0021228C"/>
    <w:rsid w:val="0021228D"/>
    <w:rsid w:val="002122A4"/>
    <w:rsid w:val="00215C21"/>
    <w:rsid w:val="00215C53"/>
    <w:rsid w:val="00215F79"/>
    <w:rsid w:val="002175C2"/>
    <w:rsid w:val="00221851"/>
    <w:rsid w:val="0022303D"/>
    <w:rsid w:val="00230570"/>
    <w:rsid w:val="00230856"/>
    <w:rsid w:val="00231148"/>
    <w:rsid w:val="00233160"/>
    <w:rsid w:val="002345CA"/>
    <w:rsid w:val="002355F1"/>
    <w:rsid w:val="00235B17"/>
    <w:rsid w:val="00241F8A"/>
    <w:rsid w:val="00243075"/>
    <w:rsid w:val="0024375D"/>
    <w:rsid w:val="002465F4"/>
    <w:rsid w:val="00247468"/>
    <w:rsid w:val="00247557"/>
    <w:rsid w:val="00250B02"/>
    <w:rsid w:val="002532F3"/>
    <w:rsid w:val="002539A6"/>
    <w:rsid w:val="00256631"/>
    <w:rsid w:val="0026208C"/>
    <w:rsid w:val="002653D1"/>
    <w:rsid w:val="002666AD"/>
    <w:rsid w:val="00267623"/>
    <w:rsid w:val="00272768"/>
    <w:rsid w:val="0027552A"/>
    <w:rsid w:val="00275F09"/>
    <w:rsid w:val="0027630B"/>
    <w:rsid w:val="00281168"/>
    <w:rsid w:val="00283A3C"/>
    <w:rsid w:val="00290AC4"/>
    <w:rsid w:val="00292F81"/>
    <w:rsid w:val="002943AD"/>
    <w:rsid w:val="0029596E"/>
    <w:rsid w:val="00296049"/>
    <w:rsid w:val="00296B1D"/>
    <w:rsid w:val="002A19D2"/>
    <w:rsid w:val="002A3080"/>
    <w:rsid w:val="002B11E8"/>
    <w:rsid w:val="002B2CC9"/>
    <w:rsid w:val="002C13DB"/>
    <w:rsid w:val="002C1E07"/>
    <w:rsid w:val="002C2A43"/>
    <w:rsid w:val="002C341A"/>
    <w:rsid w:val="002C4700"/>
    <w:rsid w:val="002C4DEB"/>
    <w:rsid w:val="002C54B1"/>
    <w:rsid w:val="002C6489"/>
    <w:rsid w:val="002C6621"/>
    <w:rsid w:val="002C6F58"/>
    <w:rsid w:val="002D16BD"/>
    <w:rsid w:val="002E1065"/>
    <w:rsid w:val="002E500C"/>
    <w:rsid w:val="002F2319"/>
    <w:rsid w:val="002F3DD2"/>
    <w:rsid w:val="00303A7A"/>
    <w:rsid w:val="00304924"/>
    <w:rsid w:val="00305267"/>
    <w:rsid w:val="00305B0E"/>
    <w:rsid w:val="00312F60"/>
    <w:rsid w:val="00313A67"/>
    <w:rsid w:val="00313E13"/>
    <w:rsid w:val="00313E9F"/>
    <w:rsid w:val="00316A66"/>
    <w:rsid w:val="00317006"/>
    <w:rsid w:val="0032020B"/>
    <w:rsid w:val="003254AC"/>
    <w:rsid w:val="00333A04"/>
    <w:rsid w:val="00334A35"/>
    <w:rsid w:val="00336BB8"/>
    <w:rsid w:val="0034200C"/>
    <w:rsid w:val="0034235C"/>
    <w:rsid w:val="00343826"/>
    <w:rsid w:val="00346DAA"/>
    <w:rsid w:val="00347D67"/>
    <w:rsid w:val="00352C6E"/>
    <w:rsid w:val="00355505"/>
    <w:rsid w:val="00357DBE"/>
    <w:rsid w:val="00365060"/>
    <w:rsid w:val="00365808"/>
    <w:rsid w:val="00371B65"/>
    <w:rsid w:val="00372BAE"/>
    <w:rsid w:val="00374092"/>
    <w:rsid w:val="00374E16"/>
    <w:rsid w:val="00377491"/>
    <w:rsid w:val="00380163"/>
    <w:rsid w:val="00380179"/>
    <w:rsid w:val="00382200"/>
    <w:rsid w:val="00384FF5"/>
    <w:rsid w:val="00385EA0"/>
    <w:rsid w:val="00390A7D"/>
    <w:rsid w:val="00391B74"/>
    <w:rsid w:val="0039327A"/>
    <w:rsid w:val="00394839"/>
    <w:rsid w:val="00394EF4"/>
    <w:rsid w:val="00396BC9"/>
    <w:rsid w:val="003A1D0D"/>
    <w:rsid w:val="003A2EB2"/>
    <w:rsid w:val="003A51E7"/>
    <w:rsid w:val="003A57BD"/>
    <w:rsid w:val="003A6FDC"/>
    <w:rsid w:val="003B0187"/>
    <w:rsid w:val="003B1333"/>
    <w:rsid w:val="003B2CFC"/>
    <w:rsid w:val="003B48D5"/>
    <w:rsid w:val="003B65BE"/>
    <w:rsid w:val="003C2287"/>
    <w:rsid w:val="003C3123"/>
    <w:rsid w:val="003C6E69"/>
    <w:rsid w:val="003D16E2"/>
    <w:rsid w:val="003D206C"/>
    <w:rsid w:val="003D263D"/>
    <w:rsid w:val="003D32C6"/>
    <w:rsid w:val="003E5B16"/>
    <w:rsid w:val="003E6949"/>
    <w:rsid w:val="003E7786"/>
    <w:rsid w:val="003F63D0"/>
    <w:rsid w:val="0040257C"/>
    <w:rsid w:val="00406794"/>
    <w:rsid w:val="00417F61"/>
    <w:rsid w:val="00420422"/>
    <w:rsid w:val="00420E3A"/>
    <w:rsid w:val="004223CD"/>
    <w:rsid w:val="004275B6"/>
    <w:rsid w:val="00430368"/>
    <w:rsid w:val="0043160E"/>
    <w:rsid w:val="00445407"/>
    <w:rsid w:val="0045272B"/>
    <w:rsid w:val="0045329F"/>
    <w:rsid w:val="0045353F"/>
    <w:rsid w:val="004546BC"/>
    <w:rsid w:val="00454DC8"/>
    <w:rsid w:val="00456D24"/>
    <w:rsid w:val="00457CE9"/>
    <w:rsid w:val="0046011E"/>
    <w:rsid w:val="00463FAC"/>
    <w:rsid w:val="004663D4"/>
    <w:rsid w:val="004674F9"/>
    <w:rsid w:val="0047057E"/>
    <w:rsid w:val="004717D9"/>
    <w:rsid w:val="0047180C"/>
    <w:rsid w:val="004756C5"/>
    <w:rsid w:val="00480BC4"/>
    <w:rsid w:val="00482A04"/>
    <w:rsid w:val="004847D2"/>
    <w:rsid w:val="00484D68"/>
    <w:rsid w:val="0048545A"/>
    <w:rsid w:val="00490B8C"/>
    <w:rsid w:val="00491310"/>
    <w:rsid w:val="00493C81"/>
    <w:rsid w:val="0049434C"/>
    <w:rsid w:val="0049462A"/>
    <w:rsid w:val="00494DD5"/>
    <w:rsid w:val="00494FF0"/>
    <w:rsid w:val="004953A6"/>
    <w:rsid w:val="00496C11"/>
    <w:rsid w:val="004A1152"/>
    <w:rsid w:val="004A3264"/>
    <w:rsid w:val="004A7173"/>
    <w:rsid w:val="004B08A0"/>
    <w:rsid w:val="004B0F30"/>
    <w:rsid w:val="004B1E5D"/>
    <w:rsid w:val="004B67DE"/>
    <w:rsid w:val="004B7427"/>
    <w:rsid w:val="004B7586"/>
    <w:rsid w:val="004B7BD3"/>
    <w:rsid w:val="004B7CE2"/>
    <w:rsid w:val="004C4EA6"/>
    <w:rsid w:val="004C59E6"/>
    <w:rsid w:val="004C7452"/>
    <w:rsid w:val="004D097D"/>
    <w:rsid w:val="004D10A0"/>
    <w:rsid w:val="004D131E"/>
    <w:rsid w:val="004D32F9"/>
    <w:rsid w:val="004D49EC"/>
    <w:rsid w:val="004D5082"/>
    <w:rsid w:val="004D5EFF"/>
    <w:rsid w:val="004D7746"/>
    <w:rsid w:val="004E4462"/>
    <w:rsid w:val="004E6459"/>
    <w:rsid w:val="004E6A54"/>
    <w:rsid w:val="004E6D3D"/>
    <w:rsid w:val="004E7B3C"/>
    <w:rsid w:val="004F0F13"/>
    <w:rsid w:val="00500606"/>
    <w:rsid w:val="00501399"/>
    <w:rsid w:val="00502E93"/>
    <w:rsid w:val="005064A4"/>
    <w:rsid w:val="00507D75"/>
    <w:rsid w:val="00512B15"/>
    <w:rsid w:val="005141CE"/>
    <w:rsid w:val="005145CA"/>
    <w:rsid w:val="005145E5"/>
    <w:rsid w:val="00515E4C"/>
    <w:rsid w:val="00517263"/>
    <w:rsid w:val="00522D5C"/>
    <w:rsid w:val="0052378A"/>
    <w:rsid w:val="005325B9"/>
    <w:rsid w:val="00533941"/>
    <w:rsid w:val="005435BF"/>
    <w:rsid w:val="00543E77"/>
    <w:rsid w:val="005447A3"/>
    <w:rsid w:val="00546B3F"/>
    <w:rsid w:val="00547813"/>
    <w:rsid w:val="00551DD5"/>
    <w:rsid w:val="00553C8A"/>
    <w:rsid w:val="00554799"/>
    <w:rsid w:val="00554C4C"/>
    <w:rsid w:val="00555F41"/>
    <w:rsid w:val="00561D69"/>
    <w:rsid w:val="005628E6"/>
    <w:rsid w:val="0056402B"/>
    <w:rsid w:val="0056547C"/>
    <w:rsid w:val="00567077"/>
    <w:rsid w:val="00570C05"/>
    <w:rsid w:val="00570C89"/>
    <w:rsid w:val="00573F8C"/>
    <w:rsid w:val="00577805"/>
    <w:rsid w:val="00584473"/>
    <w:rsid w:val="00591098"/>
    <w:rsid w:val="0059352D"/>
    <w:rsid w:val="0059573A"/>
    <w:rsid w:val="005A189D"/>
    <w:rsid w:val="005A287A"/>
    <w:rsid w:val="005A625C"/>
    <w:rsid w:val="005A72A3"/>
    <w:rsid w:val="005B10E1"/>
    <w:rsid w:val="005B6A98"/>
    <w:rsid w:val="005C02FD"/>
    <w:rsid w:val="005C0614"/>
    <w:rsid w:val="005C1600"/>
    <w:rsid w:val="005D27D4"/>
    <w:rsid w:val="005D3305"/>
    <w:rsid w:val="005D50A4"/>
    <w:rsid w:val="005E1778"/>
    <w:rsid w:val="005E3731"/>
    <w:rsid w:val="005F6A6D"/>
    <w:rsid w:val="005F6C50"/>
    <w:rsid w:val="005F7451"/>
    <w:rsid w:val="006025BE"/>
    <w:rsid w:val="0060318E"/>
    <w:rsid w:val="00604DC6"/>
    <w:rsid w:val="00606B26"/>
    <w:rsid w:val="006079C0"/>
    <w:rsid w:val="00607FFB"/>
    <w:rsid w:val="00610B7F"/>
    <w:rsid w:val="0061159A"/>
    <w:rsid w:val="00612149"/>
    <w:rsid w:val="006140D8"/>
    <w:rsid w:val="00616635"/>
    <w:rsid w:val="006168A1"/>
    <w:rsid w:val="006175C6"/>
    <w:rsid w:val="00617A94"/>
    <w:rsid w:val="006240C9"/>
    <w:rsid w:val="00625ACA"/>
    <w:rsid w:val="006275FA"/>
    <w:rsid w:val="006345F7"/>
    <w:rsid w:val="0063537C"/>
    <w:rsid w:val="00637362"/>
    <w:rsid w:val="00637604"/>
    <w:rsid w:val="006461E9"/>
    <w:rsid w:val="00653F6C"/>
    <w:rsid w:val="006544E5"/>
    <w:rsid w:val="00654CF7"/>
    <w:rsid w:val="0065574D"/>
    <w:rsid w:val="00657B7C"/>
    <w:rsid w:val="00657E06"/>
    <w:rsid w:val="006603A2"/>
    <w:rsid w:val="00661554"/>
    <w:rsid w:val="00662218"/>
    <w:rsid w:val="00662A90"/>
    <w:rsid w:val="00665757"/>
    <w:rsid w:val="006659A7"/>
    <w:rsid w:val="00667E0C"/>
    <w:rsid w:val="006740F1"/>
    <w:rsid w:val="00676103"/>
    <w:rsid w:val="0067690D"/>
    <w:rsid w:val="00676FAF"/>
    <w:rsid w:val="006774CB"/>
    <w:rsid w:val="00684F53"/>
    <w:rsid w:val="006909F8"/>
    <w:rsid w:val="00691A51"/>
    <w:rsid w:val="00694A76"/>
    <w:rsid w:val="00694FA7"/>
    <w:rsid w:val="00695261"/>
    <w:rsid w:val="00695A49"/>
    <w:rsid w:val="00696592"/>
    <w:rsid w:val="006A248D"/>
    <w:rsid w:val="006A3256"/>
    <w:rsid w:val="006A4FF1"/>
    <w:rsid w:val="006B15F1"/>
    <w:rsid w:val="006B1F65"/>
    <w:rsid w:val="006B42FA"/>
    <w:rsid w:val="006B5FAC"/>
    <w:rsid w:val="006B7964"/>
    <w:rsid w:val="006C2ED2"/>
    <w:rsid w:val="006D15D2"/>
    <w:rsid w:val="006D1A28"/>
    <w:rsid w:val="006D1C14"/>
    <w:rsid w:val="006D1F90"/>
    <w:rsid w:val="006D2A43"/>
    <w:rsid w:val="006D3400"/>
    <w:rsid w:val="006D3ACC"/>
    <w:rsid w:val="006D4923"/>
    <w:rsid w:val="006D589A"/>
    <w:rsid w:val="006D7151"/>
    <w:rsid w:val="006E0564"/>
    <w:rsid w:val="006E179F"/>
    <w:rsid w:val="006E3850"/>
    <w:rsid w:val="006E4BBE"/>
    <w:rsid w:val="006E63BB"/>
    <w:rsid w:val="006E67AE"/>
    <w:rsid w:val="006F4070"/>
    <w:rsid w:val="006F543B"/>
    <w:rsid w:val="006F5518"/>
    <w:rsid w:val="006F60A6"/>
    <w:rsid w:val="006F7E4B"/>
    <w:rsid w:val="00701272"/>
    <w:rsid w:val="007028FE"/>
    <w:rsid w:val="00702B10"/>
    <w:rsid w:val="007043D9"/>
    <w:rsid w:val="00714312"/>
    <w:rsid w:val="007149B5"/>
    <w:rsid w:val="00715672"/>
    <w:rsid w:val="007158B2"/>
    <w:rsid w:val="007167F0"/>
    <w:rsid w:val="00716AF9"/>
    <w:rsid w:val="00720D79"/>
    <w:rsid w:val="00721E8F"/>
    <w:rsid w:val="00722354"/>
    <w:rsid w:val="0072615A"/>
    <w:rsid w:val="007264E7"/>
    <w:rsid w:val="007277C0"/>
    <w:rsid w:val="0073761E"/>
    <w:rsid w:val="00737FF5"/>
    <w:rsid w:val="00740286"/>
    <w:rsid w:val="00741228"/>
    <w:rsid w:val="00741971"/>
    <w:rsid w:val="007470FE"/>
    <w:rsid w:val="00751AC6"/>
    <w:rsid w:val="0075253E"/>
    <w:rsid w:val="007526B2"/>
    <w:rsid w:val="00753759"/>
    <w:rsid w:val="00760082"/>
    <w:rsid w:val="0076455C"/>
    <w:rsid w:val="00765BBD"/>
    <w:rsid w:val="00767374"/>
    <w:rsid w:val="0077071A"/>
    <w:rsid w:val="007744E2"/>
    <w:rsid w:val="00777417"/>
    <w:rsid w:val="00777EDC"/>
    <w:rsid w:val="00783372"/>
    <w:rsid w:val="00784D8E"/>
    <w:rsid w:val="00785094"/>
    <w:rsid w:val="00785F2B"/>
    <w:rsid w:val="00786E6A"/>
    <w:rsid w:val="00787E3F"/>
    <w:rsid w:val="00790ABB"/>
    <w:rsid w:val="00792C71"/>
    <w:rsid w:val="007A3417"/>
    <w:rsid w:val="007B25D6"/>
    <w:rsid w:val="007C0373"/>
    <w:rsid w:val="007C117B"/>
    <w:rsid w:val="007C28AE"/>
    <w:rsid w:val="007C6350"/>
    <w:rsid w:val="007C7879"/>
    <w:rsid w:val="007D2DC1"/>
    <w:rsid w:val="007D38FA"/>
    <w:rsid w:val="007D3A29"/>
    <w:rsid w:val="007E46AE"/>
    <w:rsid w:val="007E4AAB"/>
    <w:rsid w:val="007E4B95"/>
    <w:rsid w:val="007E5AE8"/>
    <w:rsid w:val="007F1A16"/>
    <w:rsid w:val="007F3B1C"/>
    <w:rsid w:val="007F4EA0"/>
    <w:rsid w:val="007F6A0D"/>
    <w:rsid w:val="007F7DBA"/>
    <w:rsid w:val="008033FD"/>
    <w:rsid w:val="008057FC"/>
    <w:rsid w:val="00806744"/>
    <w:rsid w:val="00807A6F"/>
    <w:rsid w:val="008128AD"/>
    <w:rsid w:val="008131DB"/>
    <w:rsid w:val="0081358B"/>
    <w:rsid w:val="008141A0"/>
    <w:rsid w:val="00814B28"/>
    <w:rsid w:val="00815709"/>
    <w:rsid w:val="00817123"/>
    <w:rsid w:val="00817587"/>
    <w:rsid w:val="00820688"/>
    <w:rsid w:val="008230A3"/>
    <w:rsid w:val="008240B1"/>
    <w:rsid w:val="00831E0F"/>
    <w:rsid w:val="008335F1"/>
    <w:rsid w:val="00833CE3"/>
    <w:rsid w:val="008344B1"/>
    <w:rsid w:val="00836970"/>
    <w:rsid w:val="00837E3E"/>
    <w:rsid w:val="00840629"/>
    <w:rsid w:val="0084293E"/>
    <w:rsid w:val="00851E05"/>
    <w:rsid w:val="008520F4"/>
    <w:rsid w:val="00852184"/>
    <w:rsid w:val="00852DF2"/>
    <w:rsid w:val="008545A8"/>
    <w:rsid w:val="00855016"/>
    <w:rsid w:val="0085568F"/>
    <w:rsid w:val="008565BE"/>
    <w:rsid w:val="008572BA"/>
    <w:rsid w:val="008604F8"/>
    <w:rsid w:val="00862E11"/>
    <w:rsid w:val="008653FF"/>
    <w:rsid w:val="00873EB5"/>
    <w:rsid w:val="0087448C"/>
    <w:rsid w:val="008756C7"/>
    <w:rsid w:val="00876140"/>
    <w:rsid w:val="00883317"/>
    <w:rsid w:val="008834DE"/>
    <w:rsid w:val="008847A1"/>
    <w:rsid w:val="00887BFC"/>
    <w:rsid w:val="008916EA"/>
    <w:rsid w:val="0089350C"/>
    <w:rsid w:val="00895494"/>
    <w:rsid w:val="00895926"/>
    <w:rsid w:val="008963AA"/>
    <w:rsid w:val="008965A0"/>
    <w:rsid w:val="008978FF"/>
    <w:rsid w:val="00897AF2"/>
    <w:rsid w:val="008A671F"/>
    <w:rsid w:val="008B0FAF"/>
    <w:rsid w:val="008B1497"/>
    <w:rsid w:val="008B38C2"/>
    <w:rsid w:val="008B50CB"/>
    <w:rsid w:val="008B7956"/>
    <w:rsid w:val="008C10AB"/>
    <w:rsid w:val="008C2282"/>
    <w:rsid w:val="008C2722"/>
    <w:rsid w:val="008C3C50"/>
    <w:rsid w:val="008C4D0A"/>
    <w:rsid w:val="008C5A44"/>
    <w:rsid w:val="008C5F39"/>
    <w:rsid w:val="008D2D0E"/>
    <w:rsid w:val="008D4167"/>
    <w:rsid w:val="008D504C"/>
    <w:rsid w:val="008D675C"/>
    <w:rsid w:val="008D6BCA"/>
    <w:rsid w:val="008E119A"/>
    <w:rsid w:val="008E1655"/>
    <w:rsid w:val="008E34D8"/>
    <w:rsid w:val="008F034E"/>
    <w:rsid w:val="008F27B7"/>
    <w:rsid w:val="008F37FA"/>
    <w:rsid w:val="008F4909"/>
    <w:rsid w:val="008F4EF1"/>
    <w:rsid w:val="00901169"/>
    <w:rsid w:val="009032F3"/>
    <w:rsid w:val="00903D74"/>
    <w:rsid w:val="00906727"/>
    <w:rsid w:val="0091225D"/>
    <w:rsid w:val="00920842"/>
    <w:rsid w:val="009227B2"/>
    <w:rsid w:val="00922F0C"/>
    <w:rsid w:val="009239BF"/>
    <w:rsid w:val="00923DB0"/>
    <w:rsid w:val="0092708B"/>
    <w:rsid w:val="00930DDE"/>
    <w:rsid w:val="0093473D"/>
    <w:rsid w:val="00934876"/>
    <w:rsid w:val="009348E6"/>
    <w:rsid w:val="00934929"/>
    <w:rsid w:val="0093680A"/>
    <w:rsid w:val="009410BB"/>
    <w:rsid w:val="00942A92"/>
    <w:rsid w:val="00942E6A"/>
    <w:rsid w:val="009433B0"/>
    <w:rsid w:val="00944A80"/>
    <w:rsid w:val="0095091E"/>
    <w:rsid w:val="009525A2"/>
    <w:rsid w:val="00953E1D"/>
    <w:rsid w:val="00954479"/>
    <w:rsid w:val="00955A3F"/>
    <w:rsid w:val="00957445"/>
    <w:rsid w:val="00957D38"/>
    <w:rsid w:val="0096522D"/>
    <w:rsid w:val="00966B29"/>
    <w:rsid w:val="0097298E"/>
    <w:rsid w:val="00972EAF"/>
    <w:rsid w:val="0098050C"/>
    <w:rsid w:val="00980BDF"/>
    <w:rsid w:val="00982EB5"/>
    <w:rsid w:val="009838D7"/>
    <w:rsid w:val="0098542E"/>
    <w:rsid w:val="00985783"/>
    <w:rsid w:val="00985A0E"/>
    <w:rsid w:val="00986EAB"/>
    <w:rsid w:val="00990855"/>
    <w:rsid w:val="00994A91"/>
    <w:rsid w:val="00994B26"/>
    <w:rsid w:val="00994C24"/>
    <w:rsid w:val="00996753"/>
    <w:rsid w:val="009A1B77"/>
    <w:rsid w:val="009A574F"/>
    <w:rsid w:val="009A5E11"/>
    <w:rsid w:val="009A60F9"/>
    <w:rsid w:val="009B321E"/>
    <w:rsid w:val="009B5A1B"/>
    <w:rsid w:val="009B78BE"/>
    <w:rsid w:val="009C426B"/>
    <w:rsid w:val="009C4F17"/>
    <w:rsid w:val="009C6EBF"/>
    <w:rsid w:val="009D38A1"/>
    <w:rsid w:val="009D465F"/>
    <w:rsid w:val="009E2415"/>
    <w:rsid w:val="009E2C4D"/>
    <w:rsid w:val="009E5223"/>
    <w:rsid w:val="009E59FB"/>
    <w:rsid w:val="009E778B"/>
    <w:rsid w:val="009F2DEC"/>
    <w:rsid w:val="009F3AF0"/>
    <w:rsid w:val="009F4223"/>
    <w:rsid w:val="009F48FA"/>
    <w:rsid w:val="009F4F09"/>
    <w:rsid w:val="009F4FC8"/>
    <w:rsid w:val="009F5E6B"/>
    <w:rsid w:val="009F63A2"/>
    <w:rsid w:val="009F751B"/>
    <w:rsid w:val="009F7D85"/>
    <w:rsid w:val="00A01115"/>
    <w:rsid w:val="00A040A1"/>
    <w:rsid w:val="00A0646C"/>
    <w:rsid w:val="00A07EF6"/>
    <w:rsid w:val="00A1005B"/>
    <w:rsid w:val="00A14124"/>
    <w:rsid w:val="00A160C1"/>
    <w:rsid w:val="00A17234"/>
    <w:rsid w:val="00A24AB9"/>
    <w:rsid w:val="00A2677A"/>
    <w:rsid w:val="00A31CEB"/>
    <w:rsid w:val="00A32D42"/>
    <w:rsid w:val="00A36166"/>
    <w:rsid w:val="00A36234"/>
    <w:rsid w:val="00A3645A"/>
    <w:rsid w:val="00A423BB"/>
    <w:rsid w:val="00A43059"/>
    <w:rsid w:val="00A46238"/>
    <w:rsid w:val="00A511A7"/>
    <w:rsid w:val="00A52E53"/>
    <w:rsid w:val="00A545C8"/>
    <w:rsid w:val="00A578BA"/>
    <w:rsid w:val="00A57F1A"/>
    <w:rsid w:val="00A679CE"/>
    <w:rsid w:val="00A72156"/>
    <w:rsid w:val="00A73FBB"/>
    <w:rsid w:val="00A77222"/>
    <w:rsid w:val="00A77A29"/>
    <w:rsid w:val="00A801C1"/>
    <w:rsid w:val="00A81D76"/>
    <w:rsid w:val="00A83EB1"/>
    <w:rsid w:val="00A8508E"/>
    <w:rsid w:val="00A85B6B"/>
    <w:rsid w:val="00A901B2"/>
    <w:rsid w:val="00A903FE"/>
    <w:rsid w:val="00A91E1E"/>
    <w:rsid w:val="00A97E3F"/>
    <w:rsid w:val="00AA0BB7"/>
    <w:rsid w:val="00AA413D"/>
    <w:rsid w:val="00AA4923"/>
    <w:rsid w:val="00AA54A8"/>
    <w:rsid w:val="00AA568C"/>
    <w:rsid w:val="00AA5705"/>
    <w:rsid w:val="00AA7FE4"/>
    <w:rsid w:val="00AB31EA"/>
    <w:rsid w:val="00AB524C"/>
    <w:rsid w:val="00AB5B5F"/>
    <w:rsid w:val="00AB61FC"/>
    <w:rsid w:val="00AC5901"/>
    <w:rsid w:val="00AC5F91"/>
    <w:rsid w:val="00AC7A91"/>
    <w:rsid w:val="00AD1844"/>
    <w:rsid w:val="00AD1EBB"/>
    <w:rsid w:val="00AD3013"/>
    <w:rsid w:val="00AD4EA7"/>
    <w:rsid w:val="00AD6720"/>
    <w:rsid w:val="00AD7A31"/>
    <w:rsid w:val="00AE00B9"/>
    <w:rsid w:val="00AE1347"/>
    <w:rsid w:val="00AE1F98"/>
    <w:rsid w:val="00AE39ED"/>
    <w:rsid w:val="00AE39FA"/>
    <w:rsid w:val="00AE49B2"/>
    <w:rsid w:val="00AE5A40"/>
    <w:rsid w:val="00AE667A"/>
    <w:rsid w:val="00AE67FF"/>
    <w:rsid w:val="00AE7514"/>
    <w:rsid w:val="00AF16DB"/>
    <w:rsid w:val="00AF7477"/>
    <w:rsid w:val="00AF7917"/>
    <w:rsid w:val="00B03609"/>
    <w:rsid w:val="00B03E0E"/>
    <w:rsid w:val="00B04BC3"/>
    <w:rsid w:val="00B06616"/>
    <w:rsid w:val="00B10829"/>
    <w:rsid w:val="00B12EA3"/>
    <w:rsid w:val="00B136C9"/>
    <w:rsid w:val="00B22C81"/>
    <w:rsid w:val="00B243B1"/>
    <w:rsid w:val="00B249E5"/>
    <w:rsid w:val="00B268ED"/>
    <w:rsid w:val="00B26CDC"/>
    <w:rsid w:val="00B3095E"/>
    <w:rsid w:val="00B30B72"/>
    <w:rsid w:val="00B34C8C"/>
    <w:rsid w:val="00B376A4"/>
    <w:rsid w:val="00B41AE9"/>
    <w:rsid w:val="00B43A34"/>
    <w:rsid w:val="00B45B3B"/>
    <w:rsid w:val="00B46E28"/>
    <w:rsid w:val="00B513D9"/>
    <w:rsid w:val="00B51771"/>
    <w:rsid w:val="00B52E81"/>
    <w:rsid w:val="00B53087"/>
    <w:rsid w:val="00B565FE"/>
    <w:rsid w:val="00B57B2E"/>
    <w:rsid w:val="00B60237"/>
    <w:rsid w:val="00B61930"/>
    <w:rsid w:val="00B6226F"/>
    <w:rsid w:val="00B634B2"/>
    <w:rsid w:val="00B70667"/>
    <w:rsid w:val="00B751A5"/>
    <w:rsid w:val="00B76A7A"/>
    <w:rsid w:val="00B80856"/>
    <w:rsid w:val="00B876DD"/>
    <w:rsid w:val="00B94261"/>
    <w:rsid w:val="00B94997"/>
    <w:rsid w:val="00B9501E"/>
    <w:rsid w:val="00BA3B2F"/>
    <w:rsid w:val="00BA4BC5"/>
    <w:rsid w:val="00BB3049"/>
    <w:rsid w:val="00BB60AB"/>
    <w:rsid w:val="00BB69CE"/>
    <w:rsid w:val="00BB6BBF"/>
    <w:rsid w:val="00BC3874"/>
    <w:rsid w:val="00BC54A8"/>
    <w:rsid w:val="00BC6A8B"/>
    <w:rsid w:val="00BD1973"/>
    <w:rsid w:val="00BD6E2B"/>
    <w:rsid w:val="00BE08B8"/>
    <w:rsid w:val="00BE0910"/>
    <w:rsid w:val="00BE21EA"/>
    <w:rsid w:val="00BE65AD"/>
    <w:rsid w:val="00BE6A5F"/>
    <w:rsid w:val="00BE7C49"/>
    <w:rsid w:val="00BF2CF9"/>
    <w:rsid w:val="00BF54EE"/>
    <w:rsid w:val="00BF6A10"/>
    <w:rsid w:val="00C01572"/>
    <w:rsid w:val="00C02D42"/>
    <w:rsid w:val="00C062F0"/>
    <w:rsid w:val="00C12354"/>
    <w:rsid w:val="00C14EE1"/>
    <w:rsid w:val="00C16213"/>
    <w:rsid w:val="00C201C8"/>
    <w:rsid w:val="00C22EDF"/>
    <w:rsid w:val="00C231EE"/>
    <w:rsid w:val="00C2475D"/>
    <w:rsid w:val="00C25305"/>
    <w:rsid w:val="00C2546E"/>
    <w:rsid w:val="00C25552"/>
    <w:rsid w:val="00C25AAA"/>
    <w:rsid w:val="00C2749D"/>
    <w:rsid w:val="00C32CD7"/>
    <w:rsid w:val="00C33325"/>
    <w:rsid w:val="00C337D9"/>
    <w:rsid w:val="00C35CC8"/>
    <w:rsid w:val="00C37314"/>
    <w:rsid w:val="00C40195"/>
    <w:rsid w:val="00C4192A"/>
    <w:rsid w:val="00C41941"/>
    <w:rsid w:val="00C41CC6"/>
    <w:rsid w:val="00C442EF"/>
    <w:rsid w:val="00C44394"/>
    <w:rsid w:val="00C47135"/>
    <w:rsid w:val="00C4764B"/>
    <w:rsid w:val="00C47BA1"/>
    <w:rsid w:val="00C50D3E"/>
    <w:rsid w:val="00C600DA"/>
    <w:rsid w:val="00C60487"/>
    <w:rsid w:val="00C62027"/>
    <w:rsid w:val="00C63A54"/>
    <w:rsid w:val="00C65659"/>
    <w:rsid w:val="00C6575E"/>
    <w:rsid w:val="00C659CA"/>
    <w:rsid w:val="00C71D75"/>
    <w:rsid w:val="00C72629"/>
    <w:rsid w:val="00C72A2B"/>
    <w:rsid w:val="00C73027"/>
    <w:rsid w:val="00C74BEB"/>
    <w:rsid w:val="00C75AAD"/>
    <w:rsid w:val="00C81BDF"/>
    <w:rsid w:val="00C862BA"/>
    <w:rsid w:val="00C8690E"/>
    <w:rsid w:val="00C8724B"/>
    <w:rsid w:val="00C9034B"/>
    <w:rsid w:val="00C904DC"/>
    <w:rsid w:val="00C908A6"/>
    <w:rsid w:val="00C9232F"/>
    <w:rsid w:val="00C92624"/>
    <w:rsid w:val="00C93735"/>
    <w:rsid w:val="00C9453A"/>
    <w:rsid w:val="00C958CF"/>
    <w:rsid w:val="00C95B37"/>
    <w:rsid w:val="00C9613E"/>
    <w:rsid w:val="00C962DD"/>
    <w:rsid w:val="00C963F2"/>
    <w:rsid w:val="00CA2E8E"/>
    <w:rsid w:val="00CA4BCA"/>
    <w:rsid w:val="00CA6899"/>
    <w:rsid w:val="00CA7AFE"/>
    <w:rsid w:val="00CB2EF1"/>
    <w:rsid w:val="00CB320A"/>
    <w:rsid w:val="00CB677B"/>
    <w:rsid w:val="00CB7764"/>
    <w:rsid w:val="00CC0EBC"/>
    <w:rsid w:val="00CC120B"/>
    <w:rsid w:val="00CC2FF5"/>
    <w:rsid w:val="00CC3238"/>
    <w:rsid w:val="00CC6812"/>
    <w:rsid w:val="00CD0215"/>
    <w:rsid w:val="00CD18BB"/>
    <w:rsid w:val="00CD6F99"/>
    <w:rsid w:val="00CD7BD1"/>
    <w:rsid w:val="00CF10EF"/>
    <w:rsid w:val="00D007BE"/>
    <w:rsid w:val="00D02FDA"/>
    <w:rsid w:val="00D034AB"/>
    <w:rsid w:val="00D07090"/>
    <w:rsid w:val="00D1009E"/>
    <w:rsid w:val="00D117EE"/>
    <w:rsid w:val="00D13218"/>
    <w:rsid w:val="00D135A1"/>
    <w:rsid w:val="00D2270F"/>
    <w:rsid w:val="00D265AE"/>
    <w:rsid w:val="00D34154"/>
    <w:rsid w:val="00D346E7"/>
    <w:rsid w:val="00D34EF0"/>
    <w:rsid w:val="00D35229"/>
    <w:rsid w:val="00D372EF"/>
    <w:rsid w:val="00D43768"/>
    <w:rsid w:val="00D43C2B"/>
    <w:rsid w:val="00D43D38"/>
    <w:rsid w:val="00D46043"/>
    <w:rsid w:val="00D46E10"/>
    <w:rsid w:val="00D501D0"/>
    <w:rsid w:val="00D51515"/>
    <w:rsid w:val="00D53EDD"/>
    <w:rsid w:val="00D540CF"/>
    <w:rsid w:val="00D549CB"/>
    <w:rsid w:val="00D55D07"/>
    <w:rsid w:val="00D57568"/>
    <w:rsid w:val="00D65BFB"/>
    <w:rsid w:val="00D66420"/>
    <w:rsid w:val="00D67036"/>
    <w:rsid w:val="00D72E18"/>
    <w:rsid w:val="00D73050"/>
    <w:rsid w:val="00D741CD"/>
    <w:rsid w:val="00D8007B"/>
    <w:rsid w:val="00D81DF0"/>
    <w:rsid w:val="00D8213F"/>
    <w:rsid w:val="00D8318D"/>
    <w:rsid w:val="00D83ABE"/>
    <w:rsid w:val="00D84255"/>
    <w:rsid w:val="00D855FB"/>
    <w:rsid w:val="00D85719"/>
    <w:rsid w:val="00D86F05"/>
    <w:rsid w:val="00D87D77"/>
    <w:rsid w:val="00D905C7"/>
    <w:rsid w:val="00D919F7"/>
    <w:rsid w:val="00D95E68"/>
    <w:rsid w:val="00DA0079"/>
    <w:rsid w:val="00DA1112"/>
    <w:rsid w:val="00DA2897"/>
    <w:rsid w:val="00DB2B43"/>
    <w:rsid w:val="00DB6C4C"/>
    <w:rsid w:val="00DC0976"/>
    <w:rsid w:val="00DC1146"/>
    <w:rsid w:val="00DC36CC"/>
    <w:rsid w:val="00DC3DB2"/>
    <w:rsid w:val="00DC5912"/>
    <w:rsid w:val="00DD6AE0"/>
    <w:rsid w:val="00DD6B3B"/>
    <w:rsid w:val="00DE3A65"/>
    <w:rsid w:val="00DE4EB2"/>
    <w:rsid w:val="00DE5015"/>
    <w:rsid w:val="00DE68DE"/>
    <w:rsid w:val="00DE6D23"/>
    <w:rsid w:val="00DF001F"/>
    <w:rsid w:val="00DF2882"/>
    <w:rsid w:val="00DF2E9B"/>
    <w:rsid w:val="00DF30DC"/>
    <w:rsid w:val="00DF7A3E"/>
    <w:rsid w:val="00DF7F3E"/>
    <w:rsid w:val="00E02513"/>
    <w:rsid w:val="00E05E16"/>
    <w:rsid w:val="00E078BA"/>
    <w:rsid w:val="00E11AC6"/>
    <w:rsid w:val="00E13008"/>
    <w:rsid w:val="00E14482"/>
    <w:rsid w:val="00E14618"/>
    <w:rsid w:val="00E22512"/>
    <w:rsid w:val="00E2350A"/>
    <w:rsid w:val="00E245C0"/>
    <w:rsid w:val="00E30F3E"/>
    <w:rsid w:val="00E318FA"/>
    <w:rsid w:val="00E319A3"/>
    <w:rsid w:val="00E345AD"/>
    <w:rsid w:val="00E404A1"/>
    <w:rsid w:val="00E44058"/>
    <w:rsid w:val="00E46885"/>
    <w:rsid w:val="00E46AD8"/>
    <w:rsid w:val="00E53804"/>
    <w:rsid w:val="00E55047"/>
    <w:rsid w:val="00E5565F"/>
    <w:rsid w:val="00E5752C"/>
    <w:rsid w:val="00E70982"/>
    <w:rsid w:val="00E76EEA"/>
    <w:rsid w:val="00E80C02"/>
    <w:rsid w:val="00E810F7"/>
    <w:rsid w:val="00E81951"/>
    <w:rsid w:val="00E8274C"/>
    <w:rsid w:val="00E857DC"/>
    <w:rsid w:val="00E909AC"/>
    <w:rsid w:val="00E90DA3"/>
    <w:rsid w:val="00E9161C"/>
    <w:rsid w:val="00EA1293"/>
    <w:rsid w:val="00EA1884"/>
    <w:rsid w:val="00EA4070"/>
    <w:rsid w:val="00EA770E"/>
    <w:rsid w:val="00EB0FB8"/>
    <w:rsid w:val="00EB2718"/>
    <w:rsid w:val="00EB30FF"/>
    <w:rsid w:val="00EB3641"/>
    <w:rsid w:val="00EB6B01"/>
    <w:rsid w:val="00EB70D2"/>
    <w:rsid w:val="00EB7280"/>
    <w:rsid w:val="00EC049C"/>
    <w:rsid w:val="00EC1A17"/>
    <w:rsid w:val="00EC26C9"/>
    <w:rsid w:val="00EC49F9"/>
    <w:rsid w:val="00EC51EF"/>
    <w:rsid w:val="00EC560B"/>
    <w:rsid w:val="00EC604D"/>
    <w:rsid w:val="00EC6D3A"/>
    <w:rsid w:val="00EC7BE3"/>
    <w:rsid w:val="00ED21C8"/>
    <w:rsid w:val="00ED28E1"/>
    <w:rsid w:val="00ED3BB5"/>
    <w:rsid w:val="00ED7A3C"/>
    <w:rsid w:val="00EE1804"/>
    <w:rsid w:val="00EE3B5C"/>
    <w:rsid w:val="00EE453A"/>
    <w:rsid w:val="00EF5BBF"/>
    <w:rsid w:val="00EF71E1"/>
    <w:rsid w:val="00F0370D"/>
    <w:rsid w:val="00F079E7"/>
    <w:rsid w:val="00F07EBE"/>
    <w:rsid w:val="00F1159E"/>
    <w:rsid w:val="00F11F21"/>
    <w:rsid w:val="00F14A23"/>
    <w:rsid w:val="00F1500B"/>
    <w:rsid w:val="00F1633A"/>
    <w:rsid w:val="00F17E03"/>
    <w:rsid w:val="00F17F80"/>
    <w:rsid w:val="00F207FA"/>
    <w:rsid w:val="00F226B4"/>
    <w:rsid w:val="00F252CD"/>
    <w:rsid w:val="00F275C0"/>
    <w:rsid w:val="00F304F5"/>
    <w:rsid w:val="00F319CF"/>
    <w:rsid w:val="00F31DE7"/>
    <w:rsid w:val="00F33C7D"/>
    <w:rsid w:val="00F35033"/>
    <w:rsid w:val="00F37EEE"/>
    <w:rsid w:val="00F40A4A"/>
    <w:rsid w:val="00F41E9F"/>
    <w:rsid w:val="00F41ED4"/>
    <w:rsid w:val="00F420DF"/>
    <w:rsid w:val="00F423E4"/>
    <w:rsid w:val="00F42A93"/>
    <w:rsid w:val="00F42B33"/>
    <w:rsid w:val="00F50006"/>
    <w:rsid w:val="00F50E7D"/>
    <w:rsid w:val="00F52739"/>
    <w:rsid w:val="00F52F4E"/>
    <w:rsid w:val="00F54311"/>
    <w:rsid w:val="00F565B1"/>
    <w:rsid w:val="00F57818"/>
    <w:rsid w:val="00F609F9"/>
    <w:rsid w:val="00F60CA2"/>
    <w:rsid w:val="00F61F3E"/>
    <w:rsid w:val="00F623CE"/>
    <w:rsid w:val="00F64EEC"/>
    <w:rsid w:val="00F71A57"/>
    <w:rsid w:val="00F72C8A"/>
    <w:rsid w:val="00F72E6D"/>
    <w:rsid w:val="00F73E5F"/>
    <w:rsid w:val="00F7710B"/>
    <w:rsid w:val="00F80E69"/>
    <w:rsid w:val="00F82408"/>
    <w:rsid w:val="00F828D4"/>
    <w:rsid w:val="00F82E00"/>
    <w:rsid w:val="00F82F4C"/>
    <w:rsid w:val="00F8301E"/>
    <w:rsid w:val="00F85A93"/>
    <w:rsid w:val="00F86363"/>
    <w:rsid w:val="00F8737D"/>
    <w:rsid w:val="00F93905"/>
    <w:rsid w:val="00F95708"/>
    <w:rsid w:val="00F97E53"/>
    <w:rsid w:val="00FA0EE3"/>
    <w:rsid w:val="00FA2736"/>
    <w:rsid w:val="00FA2A5F"/>
    <w:rsid w:val="00FA3369"/>
    <w:rsid w:val="00FA3702"/>
    <w:rsid w:val="00FA53FC"/>
    <w:rsid w:val="00FA60CE"/>
    <w:rsid w:val="00FB2784"/>
    <w:rsid w:val="00FB3409"/>
    <w:rsid w:val="00FB511F"/>
    <w:rsid w:val="00FB6B3E"/>
    <w:rsid w:val="00FC1E5A"/>
    <w:rsid w:val="00FC3057"/>
    <w:rsid w:val="00FC5DAC"/>
    <w:rsid w:val="00FD1642"/>
    <w:rsid w:val="00FE00A7"/>
    <w:rsid w:val="00FE0267"/>
    <w:rsid w:val="00FE3A67"/>
    <w:rsid w:val="00FE5B7A"/>
    <w:rsid w:val="00FE7219"/>
    <w:rsid w:val="00FF162B"/>
    <w:rsid w:val="00FF311E"/>
    <w:rsid w:val="00FF3FE9"/>
    <w:rsid w:val="00FF4A10"/>
    <w:rsid w:val="00FF5D16"/>
    <w:rsid w:val="00FF782B"/>
    <w:rsid w:val="011A5818"/>
    <w:rsid w:val="01451617"/>
    <w:rsid w:val="01982317"/>
    <w:rsid w:val="01B91D0C"/>
    <w:rsid w:val="025E2872"/>
    <w:rsid w:val="025E7D16"/>
    <w:rsid w:val="02680E0A"/>
    <w:rsid w:val="02C82538"/>
    <w:rsid w:val="0338447D"/>
    <w:rsid w:val="04006A19"/>
    <w:rsid w:val="04175232"/>
    <w:rsid w:val="04184408"/>
    <w:rsid w:val="045A2003"/>
    <w:rsid w:val="048F1D18"/>
    <w:rsid w:val="05631891"/>
    <w:rsid w:val="05862439"/>
    <w:rsid w:val="06400C4E"/>
    <w:rsid w:val="06902446"/>
    <w:rsid w:val="06F12163"/>
    <w:rsid w:val="07004918"/>
    <w:rsid w:val="077D2EC3"/>
    <w:rsid w:val="07EE431D"/>
    <w:rsid w:val="084A3ADD"/>
    <w:rsid w:val="08D12C20"/>
    <w:rsid w:val="09D71932"/>
    <w:rsid w:val="0A374335"/>
    <w:rsid w:val="0AD52681"/>
    <w:rsid w:val="0AF550CF"/>
    <w:rsid w:val="0B183BF2"/>
    <w:rsid w:val="0B4B3038"/>
    <w:rsid w:val="0BB853AB"/>
    <w:rsid w:val="0D371C32"/>
    <w:rsid w:val="0D5A5957"/>
    <w:rsid w:val="0D612F06"/>
    <w:rsid w:val="0E585D80"/>
    <w:rsid w:val="0E6F1234"/>
    <w:rsid w:val="10D614F9"/>
    <w:rsid w:val="10D96D66"/>
    <w:rsid w:val="10F93F5F"/>
    <w:rsid w:val="11BF1B19"/>
    <w:rsid w:val="12F639E2"/>
    <w:rsid w:val="12F92E59"/>
    <w:rsid w:val="134A2825"/>
    <w:rsid w:val="1356371D"/>
    <w:rsid w:val="13736B1E"/>
    <w:rsid w:val="14017577"/>
    <w:rsid w:val="145B160F"/>
    <w:rsid w:val="15A244C2"/>
    <w:rsid w:val="16C871A2"/>
    <w:rsid w:val="16DF2CE6"/>
    <w:rsid w:val="1762588A"/>
    <w:rsid w:val="17EF5AF3"/>
    <w:rsid w:val="17F46533"/>
    <w:rsid w:val="183E0CAF"/>
    <w:rsid w:val="184E2D57"/>
    <w:rsid w:val="188F4B6C"/>
    <w:rsid w:val="198C1D89"/>
    <w:rsid w:val="19B709C0"/>
    <w:rsid w:val="1A5E4838"/>
    <w:rsid w:val="1AB45D89"/>
    <w:rsid w:val="1AB9454C"/>
    <w:rsid w:val="1AFC093E"/>
    <w:rsid w:val="1B751D18"/>
    <w:rsid w:val="1BAA7D53"/>
    <w:rsid w:val="1C3B5CE8"/>
    <w:rsid w:val="1C6817F0"/>
    <w:rsid w:val="1C830A99"/>
    <w:rsid w:val="1CB746AB"/>
    <w:rsid w:val="1D684905"/>
    <w:rsid w:val="1DC72373"/>
    <w:rsid w:val="1DE260E5"/>
    <w:rsid w:val="1DEA5747"/>
    <w:rsid w:val="1E682698"/>
    <w:rsid w:val="1F095BCD"/>
    <w:rsid w:val="22115CDB"/>
    <w:rsid w:val="23524A86"/>
    <w:rsid w:val="24AE34FB"/>
    <w:rsid w:val="24F353B2"/>
    <w:rsid w:val="25173C5F"/>
    <w:rsid w:val="257A7486"/>
    <w:rsid w:val="259E32AB"/>
    <w:rsid w:val="25F10E11"/>
    <w:rsid w:val="275565E6"/>
    <w:rsid w:val="27D25752"/>
    <w:rsid w:val="27FC11E1"/>
    <w:rsid w:val="2898023B"/>
    <w:rsid w:val="28C700D7"/>
    <w:rsid w:val="28C92310"/>
    <w:rsid w:val="28DD5E33"/>
    <w:rsid w:val="29026B42"/>
    <w:rsid w:val="29451F54"/>
    <w:rsid w:val="29B979A9"/>
    <w:rsid w:val="2AD169F8"/>
    <w:rsid w:val="2B087297"/>
    <w:rsid w:val="2BEC698B"/>
    <w:rsid w:val="2C092F1D"/>
    <w:rsid w:val="2C974875"/>
    <w:rsid w:val="2D11343C"/>
    <w:rsid w:val="2D263BEB"/>
    <w:rsid w:val="2D5354D4"/>
    <w:rsid w:val="2D6F583F"/>
    <w:rsid w:val="2D7822FD"/>
    <w:rsid w:val="2F5064B6"/>
    <w:rsid w:val="2F863F61"/>
    <w:rsid w:val="2FC36919"/>
    <w:rsid w:val="30BF6239"/>
    <w:rsid w:val="30C365E0"/>
    <w:rsid w:val="30DD7879"/>
    <w:rsid w:val="30E272ED"/>
    <w:rsid w:val="311C0B4B"/>
    <w:rsid w:val="31660F23"/>
    <w:rsid w:val="317038E6"/>
    <w:rsid w:val="31922829"/>
    <w:rsid w:val="33B87EF9"/>
    <w:rsid w:val="33D53ED4"/>
    <w:rsid w:val="33EC600C"/>
    <w:rsid w:val="342B07EB"/>
    <w:rsid w:val="348F0527"/>
    <w:rsid w:val="35CA2C77"/>
    <w:rsid w:val="371371EE"/>
    <w:rsid w:val="37290B81"/>
    <w:rsid w:val="372F21F8"/>
    <w:rsid w:val="375A10AE"/>
    <w:rsid w:val="375F18CE"/>
    <w:rsid w:val="37911754"/>
    <w:rsid w:val="38022324"/>
    <w:rsid w:val="380F0E9B"/>
    <w:rsid w:val="383E67DF"/>
    <w:rsid w:val="394D3787"/>
    <w:rsid w:val="3A1D7944"/>
    <w:rsid w:val="3A6164C2"/>
    <w:rsid w:val="3C9E3AD4"/>
    <w:rsid w:val="3CA71C2A"/>
    <w:rsid w:val="3D25107C"/>
    <w:rsid w:val="3D51281E"/>
    <w:rsid w:val="3D603E83"/>
    <w:rsid w:val="3E1075B2"/>
    <w:rsid w:val="3ECC4380"/>
    <w:rsid w:val="3F2A06C6"/>
    <w:rsid w:val="3F812E17"/>
    <w:rsid w:val="3F867EF5"/>
    <w:rsid w:val="3FD028EF"/>
    <w:rsid w:val="400C164B"/>
    <w:rsid w:val="40964782"/>
    <w:rsid w:val="4186746A"/>
    <w:rsid w:val="41E20250"/>
    <w:rsid w:val="422D2F55"/>
    <w:rsid w:val="43316857"/>
    <w:rsid w:val="433868E1"/>
    <w:rsid w:val="43AE667D"/>
    <w:rsid w:val="446077EA"/>
    <w:rsid w:val="44D04F73"/>
    <w:rsid w:val="454A7C44"/>
    <w:rsid w:val="461329F5"/>
    <w:rsid w:val="46F3483F"/>
    <w:rsid w:val="474A7B57"/>
    <w:rsid w:val="474E0CD4"/>
    <w:rsid w:val="47A735E5"/>
    <w:rsid w:val="47C60196"/>
    <w:rsid w:val="48413C01"/>
    <w:rsid w:val="48494024"/>
    <w:rsid w:val="493C55CA"/>
    <w:rsid w:val="494A2E38"/>
    <w:rsid w:val="495F1709"/>
    <w:rsid w:val="4A0745D9"/>
    <w:rsid w:val="4A2A1993"/>
    <w:rsid w:val="4B0327CD"/>
    <w:rsid w:val="4BC82845"/>
    <w:rsid w:val="4BCE052E"/>
    <w:rsid w:val="4BE50156"/>
    <w:rsid w:val="4C177FF3"/>
    <w:rsid w:val="4C75452B"/>
    <w:rsid w:val="4CE441CB"/>
    <w:rsid w:val="4D7C3E27"/>
    <w:rsid w:val="4D8B613E"/>
    <w:rsid w:val="4DCB32F9"/>
    <w:rsid w:val="4E422C2E"/>
    <w:rsid w:val="4EAB44BF"/>
    <w:rsid w:val="4F3363C0"/>
    <w:rsid w:val="4F42032D"/>
    <w:rsid w:val="4F4C150D"/>
    <w:rsid w:val="50C84660"/>
    <w:rsid w:val="522D51B0"/>
    <w:rsid w:val="527D47C7"/>
    <w:rsid w:val="52C13B4A"/>
    <w:rsid w:val="52EF6B37"/>
    <w:rsid w:val="54686C3A"/>
    <w:rsid w:val="54D933CD"/>
    <w:rsid w:val="55801A9A"/>
    <w:rsid w:val="55AC739B"/>
    <w:rsid w:val="55D83684"/>
    <w:rsid w:val="564966FD"/>
    <w:rsid w:val="56B07357"/>
    <w:rsid w:val="57573F83"/>
    <w:rsid w:val="57746BC3"/>
    <w:rsid w:val="585E0AD0"/>
    <w:rsid w:val="59B10B6D"/>
    <w:rsid w:val="5B702E09"/>
    <w:rsid w:val="5B7C5649"/>
    <w:rsid w:val="5DC15983"/>
    <w:rsid w:val="5F0D5F64"/>
    <w:rsid w:val="5F17286C"/>
    <w:rsid w:val="5F5014F2"/>
    <w:rsid w:val="5FE33352"/>
    <w:rsid w:val="5FE72CAF"/>
    <w:rsid w:val="602A3B6A"/>
    <w:rsid w:val="60947AE8"/>
    <w:rsid w:val="613C0293"/>
    <w:rsid w:val="61B93645"/>
    <w:rsid w:val="623F6029"/>
    <w:rsid w:val="6248345A"/>
    <w:rsid w:val="62F351AA"/>
    <w:rsid w:val="648D254B"/>
    <w:rsid w:val="64E36EB6"/>
    <w:rsid w:val="64EC06E2"/>
    <w:rsid w:val="66554BE3"/>
    <w:rsid w:val="67C84677"/>
    <w:rsid w:val="67CD776C"/>
    <w:rsid w:val="687848F3"/>
    <w:rsid w:val="68975621"/>
    <w:rsid w:val="689C2C37"/>
    <w:rsid w:val="68A51D6D"/>
    <w:rsid w:val="68C030F7"/>
    <w:rsid w:val="6928544D"/>
    <w:rsid w:val="69575050"/>
    <w:rsid w:val="699A7243"/>
    <w:rsid w:val="6A6F3D42"/>
    <w:rsid w:val="6AC02AFA"/>
    <w:rsid w:val="6BED474A"/>
    <w:rsid w:val="6C9858E3"/>
    <w:rsid w:val="6CC65746"/>
    <w:rsid w:val="6D512045"/>
    <w:rsid w:val="6D7F7E69"/>
    <w:rsid w:val="6DA528C6"/>
    <w:rsid w:val="6DDD5F11"/>
    <w:rsid w:val="6E62182B"/>
    <w:rsid w:val="6EA9791B"/>
    <w:rsid w:val="6EB947FC"/>
    <w:rsid w:val="6F305A53"/>
    <w:rsid w:val="6FC61CBC"/>
    <w:rsid w:val="6FD17B51"/>
    <w:rsid w:val="701B1D46"/>
    <w:rsid w:val="708F0DF3"/>
    <w:rsid w:val="70944D1F"/>
    <w:rsid w:val="71BF58E3"/>
    <w:rsid w:val="71DB3D00"/>
    <w:rsid w:val="71E909FE"/>
    <w:rsid w:val="7236716C"/>
    <w:rsid w:val="728763B9"/>
    <w:rsid w:val="733D0024"/>
    <w:rsid w:val="737624FD"/>
    <w:rsid w:val="74001D7D"/>
    <w:rsid w:val="7472539D"/>
    <w:rsid w:val="75044F2A"/>
    <w:rsid w:val="76103D3B"/>
    <w:rsid w:val="771745C2"/>
    <w:rsid w:val="77F51B00"/>
    <w:rsid w:val="782A79E0"/>
    <w:rsid w:val="78BF256F"/>
    <w:rsid w:val="78F82E8F"/>
    <w:rsid w:val="7918618D"/>
    <w:rsid w:val="79F35FCC"/>
    <w:rsid w:val="79F81FAC"/>
    <w:rsid w:val="7A2246FD"/>
    <w:rsid w:val="7A98230D"/>
    <w:rsid w:val="7AA83E8C"/>
    <w:rsid w:val="7AF91839"/>
    <w:rsid w:val="7B29556A"/>
    <w:rsid w:val="7BE679B8"/>
    <w:rsid w:val="7C121551"/>
    <w:rsid w:val="7D3C1478"/>
    <w:rsid w:val="7D510C73"/>
    <w:rsid w:val="7D697134"/>
    <w:rsid w:val="7E287425"/>
    <w:rsid w:val="7FA068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ocked="1"/>
    <w:lsdException w:uiPriority="99" w:name="table of figures"/>
    <w:lsdException w:uiPriority="99" w:name="envelope address"/>
    <w:lsdException w:uiPriority="99" w:name="envelope return"/>
    <w:lsdException w:qFormat="1" w:unhideWhenUsed="0"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uiPriority="99" w:name="Message Header"/>
    <w:lsdException w:qFormat="1" w:unhideWhenUsed="0" w:uiPriority="0" w:semiHidden="0" w:name="Subtitle" w:locked="1"/>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ocked="1"/>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0" w:semiHidden="0"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72"/>
    <w:qFormat/>
    <w:uiPriority w:val="0"/>
    <w:pPr>
      <w:keepNext/>
      <w:keepLines/>
      <w:adjustRightInd w:val="0"/>
      <w:spacing w:before="340" w:after="330" w:line="578" w:lineRule="atLeast"/>
      <w:textAlignment w:val="baseline"/>
      <w:outlineLvl w:val="0"/>
    </w:pPr>
    <w:rPr>
      <w:b/>
      <w:kern w:val="44"/>
      <w:sz w:val="44"/>
    </w:rPr>
  </w:style>
  <w:style w:type="paragraph" w:styleId="3">
    <w:name w:val="heading 2"/>
    <w:basedOn w:val="1"/>
    <w:next w:val="1"/>
    <w:link w:val="73"/>
    <w:qFormat/>
    <w:uiPriority w:val="0"/>
    <w:pPr>
      <w:keepNext/>
      <w:keepLines/>
      <w:adjustRightInd w:val="0"/>
      <w:spacing w:before="260" w:after="260" w:line="416" w:lineRule="atLeast"/>
      <w:textAlignment w:val="baseline"/>
      <w:outlineLvl w:val="1"/>
    </w:pPr>
    <w:rPr>
      <w:rFonts w:ascii="Arial" w:hAnsi="Arial" w:eastAsia="黑体"/>
      <w:b/>
      <w:kern w:val="0"/>
      <w:sz w:val="32"/>
    </w:rPr>
  </w:style>
  <w:style w:type="paragraph" w:styleId="4">
    <w:name w:val="heading 3"/>
    <w:basedOn w:val="1"/>
    <w:next w:val="1"/>
    <w:link w:val="74"/>
    <w:qFormat/>
    <w:uiPriority w:val="0"/>
    <w:pPr>
      <w:keepNext/>
      <w:keepLines/>
      <w:adjustRightInd w:val="0"/>
      <w:spacing w:before="260" w:after="260" w:line="416" w:lineRule="atLeast"/>
      <w:textAlignment w:val="baseline"/>
      <w:outlineLvl w:val="2"/>
    </w:pPr>
    <w:rPr>
      <w:b/>
      <w:kern w:val="0"/>
      <w:sz w:val="32"/>
    </w:rPr>
  </w:style>
  <w:style w:type="paragraph" w:styleId="5">
    <w:name w:val="heading 4"/>
    <w:basedOn w:val="1"/>
    <w:next w:val="1"/>
    <w:link w:val="75"/>
    <w:qFormat/>
    <w:uiPriority w:val="0"/>
    <w:pPr>
      <w:keepNext/>
      <w:keepLines/>
      <w:adjustRightInd w:val="0"/>
      <w:spacing w:before="280" w:after="290" w:line="376" w:lineRule="atLeast"/>
      <w:textAlignment w:val="baseline"/>
      <w:outlineLvl w:val="3"/>
    </w:pPr>
    <w:rPr>
      <w:rFonts w:ascii="Arial" w:hAnsi="Arial" w:eastAsia="黑体"/>
      <w:b/>
      <w:sz w:val="28"/>
    </w:rPr>
  </w:style>
  <w:style w:type="paragraph" w:styleId="6">
    <w:name w:val="heading 5"/>
    <w:basedOn w:val="1"/>
    <w:next w:val="1"/>
    <w:link w:val="76"/>
    <w:qFormat/>
    <w:uiPriority w:val="0"/>
    <w:pPr>
      <w:keepNext/>
      <w:keepLines/>
      <w:adjustRightInd w:val="0"/>
      <w:spacing w:before="280" w:after="290" w:line="376" w:lineRule="atLeast"/>
      <w:textAlignment w:val="baseline"/>
      <w:outlineLvl w:val="4"/>
    </w:pPr>
    <w:rPr>
      <w:b/>
      <w:kern w:val="0"/>
      <w:sz w:val="28"/>
    </w:rPr>
  </w:style>
  <w:style w:type="paragraph" w:styleId="7">
    <w:name w:val="heading 6"/>
    <w:basedOn w:val="1"/>
    <w:next w:val="1"/>
    <w:link w:val="77"/>
    <w:qFormat/>
    <w:uiPriority w:val="0"/>
    <w:pPr>
      <w:keepNext/>
      <w:keepLines/>
      <w:adjustRightInd w:val="0"/>
      <w:spacing w:before="240" w:after="64" w:line="320" w:lineRule="atLeast"/>
      <w:textAlignment w:val="baseline"/>
      <w:outlineLvl w:val="5"/>
    </w:pPr>
    <w:rPr>
      <w:rFonts w:ascii="Arial" w:hAnsi="Arial" w:eastAsia="黑体"/>
      <w:b/>
      <w:kern w:val="0"/>
      <w:sz w:val="24"/>
    </w:rPr>
  </w:style>
  <w:style w:type="paragraph" w:styleId="8">
    <w:name w:val="heading 7"/>
    <w:basedOn w:val="1"/>
    <w:next w:val="1"/>
    <w:link w:val="78"/>
    <w:qFormat/>
    <w:uiPriority w:val="0"/>
    <w:pPr>
      <w:keepNext/>
      <w:keepLines/>
      <w:adjustRightInd w:val="0"/>
      <w:spacing w:before="240" w:after="64" w:line="320" w:lineRule="atLeast"/>
      <w:textAlignment w:val="baseline"/>
      <w:outlineLvl w:val="6"/>
    </w:pPr>
    <w:rPr>
      <w:b/>
      <w:kern w:val="0"/>
      <w:sz w:val="24"/>
    </w:rPr>
  </w:style>
  <w:style w:type="paragraph" w:styleId="9">
    <w:name w:val="heading 8"/>
    <w:basedOn w:val="1"/>
    <w:next w:val="1"/>
    <w:link w:val="79"/>
    <w:qFormat/>
    <w:uiPriority w:val="0"/>
    <w:pPr>
      <w:keepNext/>
      <w:keepLines/>
      <w:adjustRightInd w:val="0"/>
      <w:spacing w:before="240" w:after="64" w:line="320" w:lineRule="atLeast"/>
      <w:textAlignment w:val="baseline"/>
      <w:outlineLvl w:val="7"/>
    </w:pPr>
    <w:rPr>
      <w:rFonts w:ascii="Arial" w:hAnsi="Arial" w:eastAsia="黑体"/>
      <w:kern w:val="0"/>
      <w:sz w:val="24"/>
    </w:rPr>
  </w:style>
  <w:style w:type="paragraph" w:styleId="10">
    <w:name w:val="heading 9"/>
    <w:basedOn w:val="1"/>
    <w:next w:val="1"/>
    <w:link w:val="80"/>
    <w:qFormat/>
    <w:uiPriority w:val="0"/>
    <w:pPr>
      <w:keepNext/>
      <w:keepLines/>
      <w:adjustRightInd w:val="0"/>
      <w:spacing w:before="240" w:after="64" w:line="320" w:lineRule="atLeast"/>
      <w:textAlignment w:val="baseline"/>
      <w:outlineLvl w:val="8"/>
    </w:pPr>
    <w:rPr>
      <w:rFonts w:ascii="Arial" w:hAnsi="Arial" w:eastAsia="黑体"/>
      <w:kern w:val="0"/>
    </w:rPr>
  </w:style>
  <w:style w:type="character" w:default="1" w:styleId="59">
    <w:name w:val="Default Paragraph Font"/>
    <w:semiHidden/>
    <w:unhideWhenUsed/>
    <w:qFormat/>
    <w:uiPriority w:val="1"/>
  </w:style>
  <w:style w:type="table" w:default="1" w:styleId="57">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99"/>
    <w:pPr>
      <w:ind w:left="100" w:leftChars="400" w:hanging="200" w:hangingChars="200"/>
    </w:pPr>
  </w:style>
  <w:style w:type="paragraph" w:styleId="12">
    <w:name w:val="toc 7"/>
    <w:basedOn w:val="1"/>
    <w:next w:val="1"/>
    <w:qFormat/>
    <w:uiPriority w:val="0"/>
    <w:pPr>
      <w:ind w:left="1260"/>
      <w:jc w:val="left"/>
    </w:pPr>
    <w:rPr>
      <w:sz w:val="18"/>
    </w:rPr>
  </w:style>
  <w:style w:type="paragraph" w:styleId="13">
    <w:name w:val="Normal Indent"/>
    <w:basedOn w:val="1"/>
    <w:link w:val="81"/>
    <w:qFormat/>
    <w:uiPriority w:val="0"/>
    <w:pPr>
      <w:ind w:firstLine="420"/>
    </w:pPr>
  </w:style>
  <w:style w:type="paragraph" w:styleId="14">
    <w:name w:val="caption"/>
    <w:basedOn w:val="1"/>
    <w:next w:val="1"/>
    <w:qFormat/>
    <w:locked/>
    <w:uiPriority w:val="0"/>
    <w:rPr>
      <w:rFonts w:ascii="Cambria" w:hAnsi="Cambria" w:eastAsia="黑体"/>
      <w:sz w:val="20"/>
    </w:rPr>
  </w:style>
  <w:style w:type="paragraph" w:styleId="15">
    <w:name w:val="Document Map"/>
    <w:basedOn w:val="1"/>
    <w:link w:val="82"/>
    <w:qFormat/>
    <w:uiPriority w:val="0"/>
    <w:pPr>
      <w:shd w:val="clear" w:color="auto" w:fill="000080"/>
    </w:pPr>
  </w:style>
  <w:style w:type="paragraph" w:styleId="16">
    <w:name w:val="toa heading"/>
    <w:basedOn w:val="1"/>
    <w:next w:val="1"/>
    <w:qFormat/>
    <w:uiPriority w:val="0"/>
    <w:pPr>
      <w:adjustRightInd w:val="0"/>
      <w:spacing w:line="360" w:lineRule="atLeast"/>
      <w:jc w:val="center"/>
      <w:textAlignment w:val="baseline"/>
    </w:pPr>
    <w:rPr>
      <w:rFonts w:ascii="Arial" w:hAnsi="Arial" w:eastAsia="黑体"/>
      <w:kern w:val="0"/>
      <w:sz w:val="36"/>
    </w:rPr>
  </w:style>
  <w:style w:type="paragraph" w:styleId="17">
    <w:name w:val="annotation text"/>
    <w:basedOn w:val="1"/>
    <w:link w:val="83"/>
    <w:qFormat/>
    <w:uiPriority w:val="0"/>
    <w:pPr>
      <w:jc w:val="left"/>
    </w:pPr>
  </w:style>
  <w:style w:type="paragraph" w:styleId="18">
    <w:name w:val="Salutation"/>
    <w:basedOn w:val="1"/>
    <w:next w:val="1"/>
    <w:link w:val="295"/>
    <w:qFormat/>
    <w:uiPriority w:val="0"/>
    <w:pPr>
      <w:widowControl/>
    </w:pPr>
    <w:rPr>
      <w:rFonts w:hAnsi="宋体" w:cs="宋体"/>
      <w:kern w:val="0"/>
      <w:sz w:val="30"/>
    </w:rPr>
  </w:style>
  <w:style w:type="paragraph" w:styleId="19">
    <w:name w:val="Body Text 3"/>
    <w:basedOn w:val="1"/>
    <w:next w:val="1"/>
    <w:link w:val="293"/>
    <w:qFormat/>
    <w:uiPriority w:val="0"/>
    <w:pPr>
      <w:spacing w:line="500" w:lineRule="exact"/>
    </w:pPr>
    <w:rPr>
      <w:rFonts w:hAnsi="宋体" w:cs="宋体"/>
      <w:color w:val="000000"/>
      <w:kern w:val="0"/>
      <w:sz w:val="24"/>
    </w:rPr>
  </w:style>
  <w:style w:type="paragraph" w:styleId="20">
    <w:name w:val="Body Text"/>
    <w:basedOn w:val="1"/>
    <w:link w:val="84"/>
    <w:qFormat/>
    <w:uiPriority w:val="0"/>
    <w:rPr>
      <w:sz w:val="24"/>
    </w:rPr>
  </w:style>
  <w:style w:type="paragraph" w:styleId="21">
    <w:name w:val="Body Text Indent"/>
    <w:basedOn w:val="1"/>
    <w:link w:val="85"/>
    <w:qFormat/>
    <w:uiPriority w:val="0"/>
    <w:pPr>
      <w:spacing w:after="156"/>
      <w:ind w:firstLine="480"/>
    </w:pPr>
    <w:rPr>
      <w:sz w:val="24"/>
    </w:rPr>
  </w:style>
  <w:style w:type="paragraph" w:styleId="22">
    <w:name w:val="List 2"/>
    <w:basedOn w:val="1"/>
    <w:qFormat/>
    <w:uiPriority w:val="99"/>
    <w:pPr>
      <w:ind w:left="100" w:leftChars="200" w:hanging="200" w:hangingChars="200"/>
    </w:pPr>
  </w:style>
  <w:style w:type="paragraph" w:styleId="23">
    <w:name w:val="List Continue"/>
    <w:basedOn w:val="1"/>
    <w:qFormat/>
    <w:uiPriority w:val="99"/>
    <w:pPr>
      <w:spacing w:after="120"/>
      <w:ind w:left="420" w:leftChars="200"/>
    </w:pPr>
  </w:style>
  <w:style w:type="paragraph" w:styleId="24">
    <w:name w:val="Block Text"/>
    <w:basedOn w:val="1"/>
    <w:qFormat/>
    <w:uiPriority w:val="0"/>
    <w:pPr>
      <w:autoSpaceDE w:val="0"/>
      <w:autoSpaceDN w:val="0"/>
      <w:adjustRightInd w:val="0"/>
      <w:spacing w:line="300" w:lineRule="auto"/>
      <w:ind w:left="29" w:leftChars="12" w:right="6" w:firstLine="560" w:firstLineChars="200"/>
    </w:pPr>
    <w:rPr>
      <w:kern w:val="0"/>
      <w:sz w:val="28"/>
    </w:rPr>
  </w:style>
  <w:style w:type="paragraph" w:styleId="25">
    <w:name w:val="index 4"/>
    <w:basedOn w:val="1"/>
    <w:next w:val="1"/>
    <w:qFormat/>
    <w:uiPriority w:val="0"/>
    <w:pPr>
      <w:ind w:left="600" w:leftChars="600"/>
    </w:pPr>
    <w:rPr>
      <w:szCs w:val="24"/>
    </w:rPr>
  </w:style>
  <w:style w:type="paragraph" w:styleId="26">
    <w:name w:val="toc 5"/>
    <w:basedOn w:val="1"/>
    <w:next w:val="1"/>
    <w:qFormat/>
    <w:uiPriority w:val="0"/>
    <w:pPr>
      <w:ind w:left="840"/>
      <w:jc w:val="left"/>
    </w:pPr>
    <w:rPr>
      <w:sz w:val="18"/>
    </w:rPr>
  </w:style>
  <w:style w:type="paragraph" w:styleId="27">
    <w:name w:val="toc 3"/>
    <w:basedOn w:val="1"/>
    <w:next w:val="1"/>
    <w:qFormat/>
    <w:uiPriority w:val="39"/>
    <w:pPr>
      <w:ind w:left="420"/>
      <w:jc w:val="left"/>
    </w:pPr>
    <w:rPr>
      <w:i/>
      <w:sz w:val="20"/>
    </w:rPr>
  </w:style>
  <w:style w:type="paragraph" w:styleId="28">
    <w:name w:val="Plain Text"/>
    <w:basedOn w:val="1"/>
    <w:link w:val="86"/>
    <w:qFormat/>
    <w:uiPriority w:val="0"/>
    <w:rPr>
      <w:rFonts w:ascii="宋体" w:hAnsi="Courier New"/>
    </w:rPr>
  </w:style>
  <w:style w:type="paragraph" w:styleId="29">
    <w:name w:val="toc 8"/>
    <w:basedOn w:val="1"/>
    <w:next w:val="1"/>
    <w:qFormat/>
    <w:uiPriority w:val="0"/>
    <w:pPr>
      <w:ind w:left="1470"/>
      <w:jc w:val="left"/>
    </w:pPr>
    <w:rPr>
      <w:sz w:val="18"/>
    </w:rPr>
  </w:style>
  <w:style w:type="paragraph" w:styleId="30">
    <w:name w:val="Date"/>
    <w:basedOn w:val="1"/>
    <w:next w:val="1"/>
    <w:link w:val="87"/>
    <w:qFormat/>
    <w:uiPriority w:val="0"/>
    <w:pPr>
      <w:widowControl/>
      <w:ind w:left="100"/>
      <w:jc w:val="left"/>
    </w:pPr>
    <w:rPr>
      <w:rFonts w:ascii="宋体" w:hAnsi="宋体"/>
      <w:kern w:val="0"/>
      <w:sz w:val="28"/>
    </w:rPr>
  </w:style>
  <w:style w:type="paragraph" w:styleId="31">
    <w:name w:val="Body Text Indent 2"/>
    <w:basedOn w:val="1"/>
    <w:link w:val="88"/>
    <w:qFormat/>
    <w:uiPriority w:val="0"/>
    <w:pPr>
      <w:ind w:left="1436" w:leftChars="684"/>
    </w:pPr>
    <w:rPr>
      <w:sz w:val="24"/>
    </w:rPr>
  </w:style>
  <w:style w:type="paragraph" w:styleId="32">
    <w:name w:val="List Continue 5"/>
    <w:basedOn w:val="1"/>
    <w:qFormat/>
    <w:uiPriority w:val="99"/>
    <w:pPr>
      <w:spacing w:after="120"/>
      <w:ind w:left="2100" w:leftChars="1000"/>
    </w:pPr>
  </w:style>
  <w:style w:type="paragraph" w:styleId="33">
    <w:name w:val="Balloon Text"/>
    <w:basedOn w:val="1"/>
    <w:link w:val="89"/>
    <w:qFormat/>
    <w:uiPriority w:val="0"/>
    <w:rPr>
      <w:sz w:val="18"/>
    </w:rPr>
  </w:style>
  <w:style w:type="paragraph" w:styleId="34">
    <w:name w:val="footer"/>
    <w:basedOn w:val="1"/>
    <w:link w:val="90"/>
    <w:qFormat/>
    <w:uiPriority w:val="0"/>
    <w:pPr>
      <w:tabs>
        <w:tab w:val="center" w:pos="4153"/>
        <w:tab w:val="right" w:pos="8306"/>
      </w:tabs>
      <w:snapToGrid w:val="0"/>
      <w:jc w:val="left"/>
    </w:pPr>
    <w:rPr>
      <w:sz w:val="18"/>
    </w:rPr>
  </w:style>
  <w:style w:type="paragraph" w:styleId="35">
    <w:name w:val="header"/>
    <w:basedOn w:val="1"/>
    <w:link w:val="91"/>
    <w:qFormat/>
    <w:uiPriority w:val="0"/>
    <w:pPr>
      <w:pBdr>
        <w:bottom w:val="single" w:color="auto" w:sz="6" w:space="1"/>
      </w:pBdr>
      <w:tabs>
        <w:tab w:val="center" w:pos="4153"/>
        <w:tab w:val="right" w:pos="8306"/>
      </w:tabs>
      <w:snapToGrid w:val="0"/>
      <w:jc w:val="center"/>
    </w:pPr>
    <w:rPr>
      <w:sz w:val="18"/>
    </w:rPr>
  </w:style>
  <w:style w:type="paragraph" w:styleId="36">
    <w:name w:val="toc 1"/>
    <w:basedOn w:val="1"/>
    <w:next w:val="1"/>
    <w:qFormat/>
    <w:uiPriority w:val="39"/>
    <w:pPr>
      <w:tabs>
        <w:tab w:val="left" w:pos="840"/>
        <w:tab w:val="right" w:leader="dot" w:pos="9402"/>
      </w:tabs>
      <w:adjustRightInd w:val="0"/>
      <w:snapToGrid w:val="0"/>
      <w:spacing w:line="360" w:lineRule="auto"/>
      <w:jc w:val="left"/>
    </w:pPr>
    <w:rPr>
      <w:rFonts w:ascii="Arial" w:hAnsi="宋体"/>
      <w:caps/>
      <w:w w:val="80"/>
      <w:sz w:val="24"/>
    </w:rPr>
  </w:style>
  <w:style w:type="paragraph" w:styleId="37">
    <w:name w:val="List Continue 4"/>
    <w:basedOn w:val="1"/>
    <w:qFormat/>
    <w:uiPriority w:val="99"/>
    <w:pPr>
      <w:spacing w:after="120"/>
      <w:ind w:left="1680" w:leftChars="800"/>
    </w:pPr>
  </w:style>
  <w:style w:type="paragraph" w:styleId="38">
    <w:name w:val="toc 4"/>
    <w:basedOn w:val="1"/>
    <w:next w:val="1"/>
    <w:qFormat/>
    <w:uiPriority w:val="0"/>
    <w:pPr>
      <w:tabs>
        <w:tab w:val="left" w:pos="1080"/>
        <w:tab w:val="right" w:leader="dot" w:pos="9125"/>
      </w:tabs>
      <w:adjustRightInd w:val="0"/>
      <w:snapToGrid w:val="0"/>
      <w:spacing w:line="360" w:lineRule="auto"/>
      <w:jc w:val="left"/>
    </w:pPr>
    <w:rPr>
      <w:sz w:val="18"/>
    </w:rPr>
  </w:style>
  <w:style w:type="paragraph" w:styleId="39">
    <w:name w:val="Subtitle"/>
    <w:basedOn w:val="1"/>
    <w:next w:val="1"/>
    <w:link w:val="222"/>
    <w:qFormat/>
    <w:locked/>
    <w:uiPriority w:val="0"/>
    <w:pPr>
      <w:spacing w:before="240" w:after="60" w:line="312" w:lineRule="auto"/>
      <w:jc w:val="center"/>
      <w:outlineLvl w:val="1"/>
    </w:pPr>
    <w:rPr>
      <w:rFonts w:ascii="Cambria" w:hAnsi="Cambria"/>
      <w:b/>
      <w:bCs/>
      <w:kern w:val="28"/>
      <w:sz w:val="32"/>
      <w:szCs w:val="32"/>
    </w:rPr>
  </w:style>
  <w:style w:type="paragraph" w:styleId="40">
    <w:name w:val="List"/>
    <w:basedOn w:val="1"/>
    <w:qFormat/>
    <w:uiPriority w:val="0"/>
    <w:pPr>
      <w:ind w:left="200" w:hanging="200" w:hangingChars="200"/>
    </w:pPr>
  </w:style>
  <w:style w:type="paragraph" w:styleId="41">
    <w:name w:val="footnote text"/>
    <w:basedOn w:val="1"/>
    <w:link w:val="92"/>
    <w:qFormat/>
    <w:uiPriority w:val="0"/>
    <w:pPr>
      <w:snapToGrid w:val="0"/>
      <w:jc w:val="left"/>
    </w:pPr>
    <w:rPr>
      <w:sz w:val="18"/>
    </w:rPr>
  </w:style>
  <w:style w:type="paragraph" w:styleId="42">
    <w:name w:val="toc 6"/>
    <w:basedOn w:val="1"/>
    <w:next w:val="1"/>
    <w:qFormat/>
    <w:uiPriority w:val="0"/>
    <w:pPr>
      <w:ind w:left="1050"/>
      <w:jc w:val="left"/>
    </w:pPr>
    <w:rPr>
      <w:sz w:val="18"/>
    </w:rPr>
  </w:style>
  <w:style w:type="paragraph" w:styleId="43">
    <w:name w:val="List 5"/>
    <w:basedOn w:val="1"/>
    <w:qFormat/>
    <w:uiPriority w:val="99"/>
    <w:pPr>
      <w:ind w:left="100" w:leftChars="800" w:hanging="200" w:hangingChars="200"/>
    </w:pPr>
  </w:style>
  <w:style w:type="paragraph" w:styleId="44">
    <w:name w:val="Body Text Indent 3"/>
    <w:basedOn w:val="1"/>
    <w:link w:val="93"/>
    <w:qFormat/>
    <w:uiPriority w:val="0"/>
    <w:pPr>
      <w:spacing w:after="120"/>
      <w:ind w:left="420" w:leftChars="200"/>
    </w:pPr>
    <w:rPr>
      <w:sz w:val="16"/>
    </w:rPr>
  </w:style>
  <w:style w:type="paragraph" w:styleId="45">
    <w:name w:val="toc 2"/>
    <w:basedOn w:val="1"/>
    <w:next w:val="1"/>
    <w:qFormat/>
    <w:uiPriority w:val="39"/>
    <w:pPr>
      <w:ind w:left="210"/>
      <w:jc w:val="left"/>
    </w:pPr>
    <w:rPr>
      <w:smallCaps/>
      <w:sz w:val="20"/>
    </w:rPr>
  </w:style>
  <w:style w:type="paragraph" w:styleId="46">
    <w:name w:val="toc 9"/>
    <w:basedOn w:val="1"/>
    <w:next w:val="1"/>
    <w:qFormat/>
    <w:uiPriority w:val="0"/>
    <w:pPr>
      <w:ind w:left="1680"/>
      <w:jc w:val="left"/>
    </w:pPr>
    <w:rPr>
      <w:sz w:val="18"/>
    </w:rPr>
  </w:style>
  <w:style w:type="paragraph" w:styleId="47">
    <w:name w:val="Body Text 2"/>
    <w:basedOn w:val="1"/>
    <w:link w:val="94"/>
    <w:qFormat/>
    <w:uiPriority w:val="0"/>
    <w:rPr>
      <w:rFonts w:ascii="宋体" w:hAnsi="宋体"/>
      <w:sz w:val="24"/>
    </w:rPr>
  </w:style>
  <w:style w:type="paragraph" w:styleId="48">
    <w:name w:val="List 4"/>
    <w:basedOn w:val="1"/>
    <w:qFormat/>
    <w:uiPriority w:val="99"/>
    <w:pPr>
      <w:ind w:left="100" w:leftChars="600" w:hanging="200" w:hangingChars="200"/>
    </w:pPr>
  </w:style>
  <w:style w:type="paragraph" w:styleId="49">
    <w:name w:val="List Continue 2"/>
    <w:basedOn w:val="1"/>
    <w:qFormat/>
    <w:uiPriority w:val="99"/>
    <w:pPr>
      <w:spacing w:after="120"/>
      <w:ind w:left="840" w:leftChars="400"/>
    </w:pPr>
  </w:style>
  <w:style w:type="paragraph" w:styleId="50">
    <w:name w:val="HTML Preformatted"/>
    <w:basedOn w:val="1"/>
    <w:link w:val="95"/>
    <w:qFormat/>
    <w:uiPriority w:val="0"/>
    <w:rPr>
      <w:rFonts w:ascii="Courier New" w:hAnsi="Courier New"/>
      <w:sz w:val="20"/>
    </w:rPr>
  </w:style>
  <w:style w:type="paragraph" w:styleId="51">
    <w:name w:val="Normal (Web)"/>
    <w:basedOn w:val="1"/>
    <w:qFormat/>
    <w:uiPriority w:val="0"/>
    <w:pPr>
      <w:widowControl/>
      <w:spacing w:before="100" w:beforeAutospacing="1" w:after="100" w:afterAutospacing="1"/>
      <w:jc w:val="left"/>
    </w:pPr>
    <w:rPr>
      <w:rFonts w:ascii="宋体" w:hAnsi="宋体"/>
      <w:kern w:val="0"/>
      <w:sz w:val="24"/>
    </w:rPr>
  </w:style>
  <w:style w:type="paragraph" w:styleId="52">
    <w:name w:val="List Continue 3"/>
    <w:basedOn w:val="1"/>
    <w:qFormat/>
    <w:uiPriority w:val="99"/>
    <w:pPr>
      <w:spacing w:after="120"/>
      <w:ind w:left="1260" w:leftChars="600"/>
    </w:pPr>
  </w:style>
  <w:style w:type="paragraph" w:styleId="53">
    <w:name w:val="Title"/>
    <w:basedOn w:val="1"/>
    <w:link w:val="138"/>
    <w:qFormat/>
    <w:locked/>
    <w:uiPriority w:val="0"/>
    <w:pPr>
      <w:numPr>
        <w:ilvl w:val="0"/>
        <w:numId w:val="1"/>
      </w:numPr>
      <w:spacing w:afterLines="200"/>
      <w:ind w:left="1440"/>
      <w:jc w:val="center"/>
    </w:pPr>
    <w:rPr>
      <w:b/>
      <w:bCs/>
      <w:spacing w:val="60"/>
      <w:sz w:val="32"/>
      <w:szCs w:val="24"/>
    </w:rPr>
  </w:style>
  <w:style w:type="paragraph" w:styleId="54">
    <w:name w:val="annotation subject"/>
    <w:basedOn w:val="17"/>
    <w:next w:val="17"/>
    <w:link w:val="96"/>
    <w:qFormat/>
    <w:uiPriority w:val="0"/>
    <w:rPr>
      <w:b/>
    </w:rPr>
  </w:style>
  <w:style w:type="paragraph" w:styleId="55">
    <w:name w:val="Body Text First Indent"/>
    <w:basedOn w:val="1"/>
    <w:link w:val="97"/>
    <w:qFormat/>
    <w:uiPriority w:val="0"/>
    <w:pPr>
      <w:spacing w:line="360" w:lineRule="auto"/>
      <w:ind w:firstLine="482"/>
    </w:pPr>
    <w:rPr>
      <w:b/>
      <w:sz w:val="24"/>
    </w:rPr>
  </w:style>
  <w:style w:type="paragraph" w:styleId="56">
    <w:name w:val="Body Text First Indent 2"/>
    <w:basedOn w:val="21"/>
    <w:link w:val="98"/>
    <w:qFormat/>
    <w:locked/>
    <w:uiPriority w:val="99"/>
    <w:pPr>
      <w:spacing w:after="120"/>
      <w:ind w:left="420" w:leftChars="200" w:firstLine="420" w:firstLineChars="200"/>
    </w:pPr>
    <w:rPr>
      <w:sz w:val="21"/>
    </w:rPr>
  </w:style>
  <w:style w:type="table" w:styleId="58">
    <w:name w:val="Table Grid"/>
    <w:basedOn w:val="5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0">
    <w:name w:val="Strong"/>
    <w:qFormat/>
    <w:locked/>
    <w:uiPriority w:val="0"/>
    <w:rPr>
      <w:b/>
      <w:bCs/>
    </w:rPr>
  </w:style>
  <w:style w:type="character" w:styleId="61">
    <w:name w:val="page number"/>
    <w:basedOn w:val="59"/>
    <w:qFormat/>
    <w:uiPriority w:val="0"/>
    <w:rPr>
      <w:rFonts w:cs="Times New Roman"/>
    </w:rPr>
  </w:style>
  <w:style w:type="character" w:styleId="62">
    <w:name w:val="Emphasis"/>
    <w:basedOn w:val="59"/>
    <w:qFormat/>
    <w:locked/>
    <w:uiPriority w:val="0"/>
    <w:rPr>
      <w:rFonts w:cs="Times New Roman"/>
    </w:rPr>
  </w:style>
  <w:style w:type="character" w:styleId="63">
    <w:name w:val="HTML Definition"/>
    <w:basedOn w:val="59"/>
    <w:qFormat/>
    <w:uiPriority w:val="99"/>
    <w:rPr>
      <w:rFonts w:cs="Times New Roman"/>
    </w:rPr>
  </w:style>
  <w:style w:type="character" w:styleId="64">
    <w:name w:val="HTML Variable"/>
    <w:basedOn w:val="59"/>
    <w:qFormat/>
    <w:uiPriority w:val="99"/>
    <w:rPr>
      <w:rFonts w:cs="Times New Roman"/>
    </w:rPr>
  </w:style>
  <w:style w:type="character" w:styleId="65">
    <w:name w:val="Hyperlink"/>
    <w:basedOn w:val="59"/>
    <w:qFormat/>
    <w:uiPriority w:val="99"/>
    <w:rPr>
      <w:rFonts w:cs="Times New Roman"/>
      <w:color w:val="0000FF"/>
      <w:u w:val="single"/>
    </w:rPr>
  </w:style>
  <w:style w:type="character" w:styleId="66">
    <w:name w:val="HTML Code"/>
    <w:basedOn w:val="59"/>
    <w:qFormat/>
    <w:uiPriority w:val="99"/>
    <w:rPr>
      <w:rFonts w:ascii="Courier New" w:hAnsi="Courier New" w:cs="Courier New"/>
      <w:sz w:val="20"/>
    </w:rPr>
  </w:style>
  <w:style w:type="character" w:styleId="67">
    <w:name w:val="annotation reference"/>
    <w:basedOn w:val="59"/>
    <w:qFormat/>
    <w:uiPriority w:val="0"/>
    <w:rPr>
      <w:rFonts w:cs="Times New Roman"/>
      <w:sz w:val="21"/>
    </w:rPr>
  </w:style>
  <w:style w:type="character" w:styleId="68">
    <w:name w:val="HTML Cite"/>
    <w:basedOn w:val="59"/>
    <w:qFormat/>
    <w:uiPriority w:val="99"/>
    <w:rPr>
      <w:rFonts w:cs="Times New Roman"/>
    </w:rPr>
  </w:style>
  <w:style w:type="character" w:styleId="69">
    <w:name w:val="footnote reference"/>
    <w:basedOn w:val="59"/>
    <w:semiHidden/>
    <w:qFormat/>
    <w:uiPriority w:val="99"/>
    <w:rPr>
      <w:rFonts w:cs="Times New Roman"/>
      <w:vertAlign w:val="superscript"/>
    </w:rPr>
  </w:style>
  <w:style w:type="character" w:styleId="70">
    <w:name w:val="HTML Keyboard"/>
    <w:basedOn w:val="59"/>
    <w:qFormat/>
    <w:uiPriority w:val="99"/>
    <w:rPr>
      <w:rFonts w:ascii="Courier New" w:hAnsi="Courier New" w:cs="Courier New"/>
      <w:sz w:val="20"/>
    </w:rPr>
  </w:style>
  <w:style w:type="character" w:styleId="71">
    <w:name w:val="HTML Sample"/>
    <w:basedOn w:val="59"/>
    <w:qFormat/>
    <w:uiPriority w:val="99"/>
    <w:rPr>
      <w:rFonts w:ascii="Courier New" w:hAnsi="Courier New" w:cs="Courier New"/>
    </w:rPr>
  </w:style>
  <w:style w:type="character" w:customStyle="1" w:styleId="72">
    <w:name w:val="标题 1 字符"/>
    <w:basedOn w:val="59"/>
    <w:link w:val="2"/>
    <w:qFormat/>
    <w:locked/>
    <w:uiPriority w:val="0"/>
    <w:rPr>
      <w:rFonts w:cs="Times New Roman"/>
      <w:b/>
      <w:kern w:val="44"/>
      <w:sz w:val="44"/>
    </w:rPr>
  </w:style>
  <w:style w:type="character" w:customStyle="1" w:styleId="73">
    <w:name w:val="标题 2 字符"/>
    <w:basedOn w:val="59"/>
    <w:link w:val="3"/>
    <w:qFormat/>
    <w:locked/>
    <w:uiPriority w:val="0"/>
    <w:rPr>
      <w:rFonts w:ascii="Arial" w:hAnsi="Arial" w:eastAsia="黑体" w:cs="Times New Roman"/>
      <w:b/>
      <w:sz w:val="32"/>
    </w:rPr>
  </w:style>
  <w:style w:type="character" w:customStyle="1" w:styleId="74">
    <w:name w:val="标题 3 字符"/>
    <w:basedOn w:val="59"/>
    <w:link w:val="4"/>
    <w:qFormat/>
    <w:locked/>
    <w:uiPriority w:val="0"/>
    <w:rPr>
      <w:rFonts w:cs="Times New Roman"/>
      <w:b/>
      <w:bCs/>
      <w:sz w:val="32"/>
      <w:szCs w:val="32"/>
    </w:rPr>
  </w:style>
  <w:style w:type="character" w:customStyle="1" w:styleId="75">
    <w:name w:val="标题 4 字符"/>
    <w:basedOn w:val="59"/>
    <w:link w:val="5"/>
    <w:qFormat/>
    <w:locked/>
    <w:uiPriority w:val="0"/>
    <w:rPr>
      <w:rFonts w:ascii="Arial" w:hAnsi="Arial" w:eastAsia="黑体" w:cs="Times New Roman"/>
      <w:b/>
      <w:kern w:val="2"/>
      <w:sz w:val="28"/>
      <w:lang w:val="en-US" w:eastAsia="zh-CN"/>
    </w:rPr>
  </w:style>
  <w:style w:type="character" w:customStyle="1" w:styleId="76">
    <w:name w:val="标题 5 字符"/>
    <w:basedOn w:val="59"/>
    <w:link w:val="6"/>
    <w:qFormat/>
    <w:locked/>
    <w:uiPriority w:val="0"/>
    <w:rPr>
      <w:rFonts w:cs="Times New Roman"/>
      <w:b/>
      <w:bCs/>
      <w:sz w:val="28"/>
      <w:szCs w:val="28"/>
    </w:rPr>
  </w:style>
  <w:style w:type="character" w:customStyle="1" w:styleId="77">
    <w:name w:val="标题 6 字符"/>
    <w:basedOn w:val="59"/>
    <w:link w:val="7"/>
    <w:qFormat/>
    <w:locked/>
    <w:uiPriority w:val="0"/>
    <w:rPr>
      <w:rFonts w:ascii="Cambria" w:hAnsi="Cambria" w:eastAsia="宋体" w:cs="Times New Roman"/>
      <w:b/>
      <w:bCs/>
      <w:sz w:val="24"/>
      <w:szCs w:val="24"/>
    </w:rPr>
  </w:style>
  <w:style w:type="character" w:customStyle="1" w:styleId="78">
    <w:name w:val="标题 7 字符"/>
    <w:basedOn w:val="59"/>
    <w:link w:val="8"/>
    <w:qFormat/>
    <w:locked/>
    <w:uiPriority w:val="0"/>
    <w:rPr>
      <w:rFonts w:cs="Times New Roman"/>
      <w:b/>
      <w:bCs/>
      <w:sz w:val="24"/>
      <w:szCs w:val="24"/>
    </w:rPr>
  </w:style>
  <w:style w:type="character" w:customStyle="1" w:styleId="79">
    <w:name w:val="标题 8 字符"/>
    <w:basedOn w:val="59"/>
    <w:link w:val="9"/>
    <w:qFormat/>
    <w:locked/>
    <w:uiPriority w:val="0"/>
    <w:rPr>
      <w:rFonts w:ascii="Cambria" w:hAnsi="Cambria" w:eastAsia="宋体" w:cs="Times New Roman"/>
      <w:sz w:val="24"/>
      <w:szCs w:val="24"/>
    </w:rPr>
  </w:style>
  <w:style w:type="character" w:customStyle="1" w:styleId="80">
    <w:name w:val="标题 9 字符"/>
    <w:basedOn w:val="59"/>
    <w:link w:val="10"/>
    <w:qFormat/>
    <w:locked/>
    <w:uiPriority w:val="0"/>
    <w:rPr>
      <w:rFonts w:ascii="Cambria" w:hAnsi="Cambria" w:eastAsia="宋体" w:cs="Times New Roman"/>
      <w:sz w:val="21"/>
      <w:szCs w:val="21"/>
    </w:rPr>
  </w:style>
  <w:style w:type="character" w:customStyle="1" w:styleId="81">
    <w:name w:val="正文缩进 字符"/>
    <w:link w:val="13"/>
    <w:qFormat/>
    <w:locked/>
    <w:uiPriority w:val="0"/>
    <w:rPr>
      <w:kern w:val="2"/>
      <w:sz w:val="21"/>
    </w:rPr>
  </w:style>
  <w:style w:type="character" w:customStyle="1" w:styleId="82">
    <w:name w:val="文档结构图 字符"/>
    <w:basedOn w:val="59"/>
    <w:link w:val="15"/>
    <w:qFormat/>
    <w:locked/>
    <w:uiPriority w:val="0"/>
    <w:rPr>
      <w:rFonts w:cs="Times New Roman"/>
      <w:sz w:val="2"/>
    </w:rPr>
  </w:style>
  <w:style w:type="character" w:customStyle="1" w:styleId="83">
    <w:name w:val="批注文字 字符"/>
    <w:basedOn w:val="59"/>
    <w:link w:val="17"/>
    <w:qFormat/>
    <w:locked/>
    <w:uiPriority w:val="0"/>
    <w:rPr>
      <w:rFonts w:cs="Times New Roman"/>
      <w:kern w:val="2"/>
      <w:sz w:val="21"/>
    </w:rPr>
  </w:style>
  <w:style w:type="character" w:customStyle="1" w:styleId="84">
    <w:name w:val="正文文本 字符"/>
    <w:basedOn w:val="59"/>
    <w:link w:val="20"/>
    <w:qFormat/>
    <w:locked/>
    <w:uiPriority w:val="0"/>
    <w:rPr>
      <w:rFonts w:cs="Times New Roman"/>
      <w:sz w:val="20"/>
      <w:szCs w:val="20"/>
    </w:rPr>
  </w:style>
  <w:style w:type="character" w:customStyle="1" w:styleId="85">
    <w:name w:val="正文文本缩进 字符"/>
    <w:basedOn w:val="59"/>
    <w:link w:val="21"/>
    <w:qFormat/>
    <w:locked/>
    <w:uiPriority w:val="0"/>
    <w:rPr>
      <w:rFonts w:cs="Times New Roman"/>
      <w:kern w:val="2"/>
      <w:sz w:val="24"/>
    </w:rPr>
  </w:style>
  <w:style w:type="character" w:customStyle="1" w:styleId="86">
    <w:name w:val="纯文本 字符"/>
    <w:basedOn w:val="59"/>
    <w:link w:val="28"/>
    <w:qFormat/>
    <w:locked/>
    <w:uiPriority w:val="0"/>
    <w:rPr>
      <w:rFonts w:ascii="宋体" w:hAnsi="Courier New" w:cs="Courier New"/>
      <w:sz w:val="21"/>
      <w:szCs w:val="21"/>
    </w:rPr>
  </w:style>
  <w:style w:type="character" w:customStyle="1" w:styleId="87">
    <w:name w:val="日期 字符"/>
    <w:basedOn w:val="59"/>
    <w:link w:val="30"/>
    <w:qFormat/>
    <w:locked/>
    <w:uiPriority w:val="0"/>
    <w:rPr>
      <w:rFonts w:cs="Times New Roman"/>
      <w:sz w:val="20"/>
      <w:szCs w:val="20"/>
    </w:rPr>
  </w:style>
  <w:style w:type="character" w:customStyle="1" w:styleId="88">
    <w:name w:val="正文文本缩进 2 字符"/>
    <w:basedOn w:val="59"/>
    <w:link w:val="31"/>
    <w:qFormat/>
    <w:locked/>
    <w:uiPriority w:val="0"/>
    <w:rPr>
      <w:rFonts w:cs="Times New Roman"/>
      <w:sz w:val="20"/>
      <w:szCs w:val="20"/>
    </w:rPr>
  </w:style>
  <w:style w:type="character" w:customStyle="1" w:styleId="89">
    <w:name w:val="批注框文本 字符"/>
    <w:basedOn w:val="59"/>
    <w:link w:val="33"/>
    <w:qFormat/>
    <w:locked/>
    <w:uiPriority w:val="0"/>
    <w:rPr>
      <w:rFonts w:eastAsia="宋体" w:cs="Times New Roman"/>
      <w:kern w:val="2"/>
      <w:sz w:val="18"/>
      <w:lang w:val="en-US" w:eastAsia="zh-CN"/>
    </w:rPr>
  </w:style>
  <w:style w:type="character" w:customStyle="1" w:styleId="90">
    <w:name w:val="页脚 字符1"/>
    <w:basedOn w:val="59"/>
    <w:link w:val="34"/>
    <w:qFormat/>
    <w:locked/>
    <w:uiPriority w:val="0"/>
    <w:rPr>
      <w:rFonts w:cs="Times New Roman"/>
      <w:kern w:val="2"/>
      <w:sz w:val="18"/>
    </w:rPr>
  </w:style>
  <w:style w:type="character" w:customStyle="1" w:styleId="91">
    <w:name w:val="页眉 字符1"/>
    <w:basedOn w:val="59"/>
    <w:link w:val="35"/>
    <w:qFormat/>
    <w:locked/>
    <w:uiPriority w:val="0"/>
    <w:rPr>
      <w:rFonts w:cs="Times New Roman"/>
      <w:sz w:val="18"/>
      <w:szCs w:val="18"/>
    </w:rPr>
  </w:style>
  <w:style w:type="character" w:customStyle="1" w:styleId="92">
    <w:name w:val="脚注文本 字符"/>
    <w:basedOn w:val="59"/>
    <w:link w:val="41"/>
    <w:qFormat/>
    <w:locked/>
    <w:uiPriority w:val="0"/>
    <w:rPr>
      <w:rFonts w:cs="Times New Roman"/>
      <w:sz w:val="18"/>
      <w:szCs w:val="18"/>
    </w:rPr>
  </w:style>
  <w:style w:type="character" w:customStyle="1" w:styleId="93">
    <w:name w:val="正文文本缩进 3 字符"/>
    <w:basedOn w:val="59"/>
    <w:link w:val="44"/>
    <w:qFormat/>
    <w:locked/>
    <w:uiPriority w:val="0"/>
    <w:rPr>
      <w:rFonts w:cs="Times New Roman"/>
      <w:sz w:val="16"/>
      <w:szCs w:val="16"/>
    </w:rPr>
  </w:style>
  <w:style w:type="character" w:customStyle="1" w:styleId="94">
    <w:name w:val="正文文本 2 字符"/>
    <w:basedOn w:val="59"/>
    <w:link w:val="47"/>
    <w:qFormat/>
    <w:locked/>
    <w:uiPriority w:val="0"/>
    <w:rPr>
      <w:rFonts w:cs="Times New Roman"/>
      <w:sz w:val="20"/>
      <w:szCs w:val="20"/>
    </w:rPr>
  </w:style>
  <w:style w:type="character" w:customStyle="1" w:styleId="95">
    <w:name w:val="HTML 预设格式 字符"/>
    <w:basedOn w:val="59"/>
    <w:link w:val="50"/>
    <w:qFormat/>
    <w:locked/>
    <w:uiPriority w:val="0"/>
    <w:rPr>
      <w:rFonts w:ascii="Courier New" w:hAnsi="Courier New" w:cs="Times New Roman"/>
      <w:kern w:val="2"/>
    </w:rPr>
  </w:style>
  <w:style w:type="character" w:customStyle="1" w:styleId="96">
    <w:name w:val="批注主题 字符"/>
    <w:basedOn w:val="83"/>
    <w:link w:val="54"/>
    <w:qFormat/>
    <w:locked/>
    <w:uiPriority w:val="0"/>
    <w:rPr>
      <w:rFonts w:cs="Times New Roman"/>
      <w:b/>
      <w:bCs/>
      <w:kern w:val="2"/>
      <w:sz w:val="20"/>
      <w:szCs w:val="20"/>
    </w:rPr>
  </w:style>
  <w:style w:type="character" w:customStyle="1" w:styleId="97">
    <w:name w:val="正文文本首行缩进 字符"/>
    <w:basedOn w:val="84"/>
    <w:link w:val="55"/>
    <w:qFormat/>
    <w:locked/>
    <w:uiPriority w:val="0"/>
    <w:rPr>
      <w:rFonts w:cs="Times New Roman"/>
      <w:sz w:val="20"/>
      <w:szCs w:val="20"/>
    </w:rPr>
  </w:style>
  <w:style w:type="character" w:customStyle="1" w:styleId="98">
    <w:name w:val="正文文本首行缩进 2 字符"/>
    <w:basedOn w:val="85"/>
    <w:link w:val="56"/>
    <w:qFormat/>
    <w:locked/>
    <w:uiPriority w:val="99"/>
    <w:rPr>
      <w:rFonts w:cs="Times New Roman"/>
      <w:kern w:val="2"/>
      <w:sz w:val="21"/>
    </w:rPr>
  </w:style>
  <w:style w:type="character" w:customStyle="1" w:styleId="99">
    <w:name w:val="标题 1 Char Char"/>
    <w:qFormat/>
    <w:uiPriority w:val="99"/>
    <w:rPr>
      <w:rFonts w:ascii="宋体" w:hAnsi="宋体" w:eastAsia="宋体"/>
      <w:b/>
      <w:spacing w:val="-2"/>
      <w:sz w:val="24"/>
      <w:lang w:val="en-US" w:eastAsia="zh-CN"/>
    </w:rPr>
  </w:style>
  <w:style w:type="character" w:customStyle="1" w:styleId="100">
    <w:name w:val="style1"/>
    <w:qFormat/>
    <w:uiPriority w:val="99"/>
  </w:style>
  <w:style w:type="character" w:customStyle="1" w:styleId="101">
    <w:name w:val="Style Heading 3 + Char"/>
    <w:link w:val="102"/>
    <w:qFormat/>
    <w:locked/>
    <w:uiPriority w:val="99"/>
    <w:rPr>
      <w:rFonts w:eastAsia="宋体"/>
      <w:b/>
      <w:kern w:val="2"/>
      <w:sz w:val="28"/>
      <w:lang w:val="en-US" w:eastAsia="zh-CN"/>
    </w:rPr>
  </w:style>
  <w:style w:type="paragraph" w:customStyle="1" w:styleId="102">
    <w:name w:val="Style Heading 3 +"/>
    <w:basedOn w:val="4"/>
    <w:link w:val="101"/>
    <w:qFormat/>
    <w:uiPriority w:val="99"/>
    <w:pPr>
      <w:adjustRightInd/>
      <w:spacing w:before="120" w:after="120" w:line="120" w:lineRule="atLeast"/>
      <w:textAlignment w:val="auto"/>
    </w:pPr>
    <w:rPr>
      <w:kern w:val="2"/>
      <w:sz w:val="28"/>
    </w:rPr>
  </w:style>
  <w:style w:type="paragraph" w:customStyle="1" w:styleId="103">
    <w:name w:val="6"/>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04">
    <w:name w:val="文档正文"/>
    <w:basedOn w:val="1"/>
    <w:qFormat/>
    <w:uiPriority w:val="0"/>
    <w:pPr>
      <w:adjustRightInd w:val="0"/>
      <w:spacing w:line="480" w:lineRule="atLeast"/>
      <w:ind w:firstLine="567"/>
      <w:textAlignment w:val="baseline"/>
    </w:pPr>
    <w:rPr>
      <w:rFonts w:ascii="仿宋_GB2312" w:eastAsia="仿宋_GB2312"/>
      <w:kern w:val="0"/>
      <w:sz w:val="28"/>
    </w:rPr>
  </w:style>
  <w:style w:type="paragraph" w:customStyle="1" w:styleId="105">
    <w:name w:val="Plain Text1"/>
    <w:basedOn w:val="1"/>
    <w:qFormat/>
    <w:uiPriority w:val="99"/>
    <w:pPr>
      <w:widowControl/>
      <w:adjustRightInd w:val="0"/>
      <w:jc w:val="left"/>
      <w:textAlignment w:val="baseline"/>
    </w:pPr>
    <w:rPr>
      <w:rFonts w:ascii="宋体" w:hAnsi="Courier New" w:eastAsia="楷体_GB2312"/>
      <w:kern w:val="0"/>
      <w:sz w:val="26"/>
    </w:rPr>
  </w:style>
  <w:style w:type="paragraph" w:customStyle="1" w:styleId="106">
    <w:name w:val="Char Char Char1 Char"/>
    <w:basedOn w:val="1"/>
    <w:qFormat/>
    <w:uiPriority w:val="0"/>
  </w:style>
  <w:style w:type="paragraph" w:customStyle="1" w:styleId="107">
    <w:name w:val="p0"/>
    <w:basedOn w:val="1"/>
    <w:qFormat/>
    <w:uiPriority w:val="0"/>
    <w:pPr>
      <w:widowControl/>
    </w:pPr>
    <w:rPr>
      <w:kern w:val="0"/>
      <w:szCs w:val="21"/>
    </w:rPr>
  </w:style>
  <w:style w:type="paragraph" w:customStyle="1" w:styleId="108">
    <w:name w:val="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09">
    <w:name w:val="默认段落字体 Para Char Char Char Char"/>
    <w:basedOn w:val="1"/>
    <w:qFormat/>
    <w:uiPriority w:val="0"/>
  </w:style>
  <w:style w:type="paragraph" w:customStyle="1" w:styleId="110">
    <w:name w:val="1"/>
    <w:basedOn w:val="1"/>
    <w:next w:val="28"/>
    <w:qFormat/>
    <w:uiPriority w:val="0"/>
    <w:rPr>
      <w:rFonts w:ascii="宋体" w:hAnsi="Courier New"/>
    </w:rPr>
  </w:style>
  <w:style w:type="paragraph" w:customStyle="1" w:styleId="111">
    <w:name w:val="纯文本2"/>
    <w:basedOn w:val="1"/>
    <w:qFormat/>
    <w:uiPriority w:val="99"/>
    <w:rPr>
      <w:rFonts w:ascii="宋体" w:hAnsi="Courier New"/>
      <w:sz w:val="28"/>
      <w:szCs w:val="24"/>
    </w:rPr>
  </w:style>
  <w:style w:type="paragraph" w:customStyle="1" w:styleId="112">
    <w:name w:val="简单回函地址"/>
    <w:basedOn w:val="1"/>
    <w:qFormat/>
    <w:uiPriority w:val="99"/>
  </w:style>
  <w:style w:type="paragraph" w:customStyle="1" w:styleId="113">
    <w:name w:val="图文"/>
    <w:basedOn w:val="1"/>
    <w:qFormat/>
    <w:uiPriority w:val="99"/>
    <w:pPr>
      <w:adjustRightInd w:val="0"/>
      <w:snapToGrid w:val="0"/>
      <w:spacing w:after="50" w:line="360" w:lineRule="auto"/>
    </w:pPr>
    <w:rPr>
      <w:sz w:val="24"/>
    </w:rPr>
  </w:style>
  <w:style w:type="paragraph" w:customStyle="1" w:styleId="114">
    <w:name w:val="Char2"/>
    <w:basedOn w:val="1"/>
    <w:qFormat/>
    <w:uiPriority w:val="99"/>
    <w:pPr>
      <w:widowControl/>
      <w:spacing w:after="160" w:line="240" w:lineRule="exact"/>
      <w:jc w:val="left"/>
    </w:pPr>
    <w:rPr>
      <w:rFonts w:ascii="Verdana" w:hAnsi="Verdana" w:eastAsia="仿宋_GB2312"/>
      <w:kern w:val="0"/>
      <w:sz w:val="24"/>
      <w:lang w:eastAsia="en-US"/>
    </w:rPr>
  </w:style>
  <w:style w:type="paragraph" w:customStyle="1" w:styleId="115">
    <w:name w:val="列出段落1"/>
    <w:basedOn w:val="1"/>
    <w:qFormat/>
    <w:uiPriority w:val="0"/>
    <w:pPr>
      <w:ind w:firstLine="420" w:firstLineChars="200"/>
    </w:pPr>
  </w:style>
  <w:style w:type="paragraph" w:customStyle="1" w:styleId="116">
    <w:name w:val="样式 标题 2 + 黑色 行距: 1.5 倍行距"/>
    <w:basedOn w:val="3"/>
    <w:qFormat/>
    <w:uiPriority w:val="99"/>
    <w:pPr>
      <w:adjustRightInd/>
      <w:spacing w:line="360" w:lineRule="auto"/>
      <w:ind w:firstLine="3502" w:firstLineChars="1246"/>
      <w:textAlignment w:val="auto"/>
    </w:pPr>
    <w:rPr>
      <w:rFonts w:ascii="楷体_GB2312" w:hAnsi="宋体" w:eastAsia="楷体_GB2312" w:cs="仿宋_GB2312"/>
      <w:bCs/>
      <w:kern w:val="2"/>
      <w:sz w:val="28"/>
      <w:szCs w:val="28"/>
    </w:rPr>
  </w:style>
  <w:style w:type="paragraph" w:customStyle="1" w:styleId="117">
    <w:name w:val="列出段落2"/>
    <w:basedOn w:val="1"/>
    <w:qFormat/>
    <w:uiPriority w:val="99"/>
    <w:pPr>
      <w:ind w:firstLine="420" w:firstLineChars="200"/>
    </w:pPr>
    <w:rPr>
      <w:rFonts w:ascii="Calibri" w:hAnsi="Calibri"/>
      <w:sz w:val="24"/>
      <w:szCs w:val="24"/>
    </w:rPr>
  </w:style>
  <w:style w:type="paragraph" w:customStyle="1" w:styleId="118">
    <w:name w:val="修订1"/>
    <w:semiHidden/>
    <w:qFormat/>
    <w:uiPriority w:val="99"/>
    <w:rPr>
      <w:rFonts w:ascii="Times New Roman" w:hAnsi="Times New Roman" w:eastAsia="宋体" w:cs="Times New Roman"/>
      <w:kern w:val="2"/>
      <w:sz w:val="21"/>
      <w:lang w:val="en-US" w:eastAsia="zh-CN" w:bidi="ar-SA"/>
    </w:rPr>
  </w:style>
  <w:style w:type="paragraph" w:customStyle="1" w:styleId="119">
    <w:name w:val="正文1"/>
    <w:basedOn w:val="1"/>
    <w:qFormat/>
    <w:uiPriority w:val="0"/>
    <w:pPr>
      <w:spacing w:line="360" w:lineRule="auto"/>
      <w:ind w:firstLine="361"/>
    </w:pPr>
    <w:rPr>
      <w:rFonts w:ascii="宋体" w:hAnsi="宋体"/>
      <w:szCs w:val="24"/>
    </w:rPr>
  </w:style>
  <w:style w:type="table" w:customStyle="1" w:styleId="120">
    <w:name w:val="网格型1"/>
    <w:basedOn w:val="57"/>
    <w:qFormat/>
    <w:uiPriority w:val="5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1">
    <w:name w:val="NormalCharacter"/>
    <w:qFormat/>
    <w:uiPriority w:val="0"/>
  </w:style>
  <w:style w:type="paragraph" w:customStyle="1" w:styleId="122">
    <w:name w:val="页脚1"/>
    <w:basedOn w:val="1"/>
    <w:link w:val="123"/>
    <w:qFormat/>
    <w:uiPriority w:val="0"/>
    <w:pPr>
      <w:widowControl/>
      <w:tabs>
        <w:tab w:val="center" w:pos="4153"/>
        <w:tab w:val="right" w:pos="8306"/>
      </w:tabs>
      <w:snapToGrid w:val="0"/>
      <w:jc w:val="left"/>
      <w:textAlignment w:val="baseline"/>
    </w:pPr>
    <w:rPr>
      <w:kern w:val="0"/>
      <w:sz w:val="18"/>
      <w:szCs w:val="18"/>
    </w:rPr>
  </w:style>
  <w:style w:type="character" w:customStyle="1" w:styleId="123">
    <w:name w:val="UserStyle_11"/>
    <w:link w:val="122"/>
    <w:qFormat/>
    <w:uiPriority w:val="0"/>
    <w:rPr>
      <w:sz w:val="18"/>
      <w:szCs w:val="18"/>
    </w:rPr>
  </w:style>
  <w:style w:type="paragraph" w:customStyle="1" w:styleId="124">
    <w:name w:val="页眉1"/>
    <w:basedOn w:val="1"/>
    <w:link w:val="125"/>
    <w:qFormat/>
    <w:uiPriority w:val="0"/>
    <w:pPr>
      <w:widowControl/>
      <w:pBdr>
        <w:bottom w:val="single" w:color="000000" w:sz="6" w:space="1"/>
      </w:pBdr>
      <w:tabs>
        <w:tab w:val="center" w:pos="4153"/>
        <w:tab w:val="right" w:pos="8306"/>
      </w:tabs>
      <w:snapToGrid w:val="0"/>
      <w:jc w:val="center"/>
      <w:textAlignment w:val="baseline"/>
    </w:pPr>
    <w:rPr>
      <w:kern w:val="0"/>
      <w:sz w:val="18"/>
      <w:szCs w:val="18"/>
    </w:rPr>
  </w:style>
  <w:style w:type="character" w:customStyle="1" w:styleId="125">
    <w:name w:val="UserStyle_12"/>
    <w:link w:val="124"/>
    <w:qFormat/>
    <w:uiPriority w:val="0"/>
    <w:rPr>
      <w:sz w:val="18"/>
      <w:szCs w:val="18"/>
    </w:rPr>
  </w:style>
  <w:style w:type="paragraph" w:styleId="126">
    <w:name w:val="List Paragraph"/>
    <w:basedOn w:val="1"/>
    <w:qFormat/>
    <w:uiPriority w:val="0"/>
    <w:pPr>
      <w:ind w:firstLine="420" w:firstLineChars="200"/>
    </w:pPr>
    <w:rPr>
      <w:rFonts w:ascii="Calibri" w:hAnsi="Calibri"/>
      <w:sz w:val="24"/>
      <w:szCs w:val="24"/>
    </w:rPr>
  </w:style>
  <w:style w:type="table" w:customStyle="1" w:styleId="127">
    <w:name w:val="网格型2"/>
    <w:basedOn w:val="57"/>
    <w:qFormat/>
    <w:uiPriority w:val="0"/>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8">
    <w:name w:val="网格型3"/>
    <w:basedOn w:val="57"/>
    <w:qFormat/>
    <w:uiPriority w:val="0"/>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9">
    <w:name w:val="Table Paragraph"/>
    <w:basedOn w:val="1"/>
    <w:qFormat/>
    <w:uiPriority w:val="0"/>
    <w:pPr>
      <w:jc w:val="left"/>
    </w:pPr>
    <w:rPr>
      <w:rFonts w:ascii="宋体" w:hAnsi="宋体" w:cs="宋体"/>
      <w:kern w:val="0"/>
      <w:sz w:val="22"/>
      <w:lang w:eastAsia="en-US"/>
    </w:rPr>
  </w:style>
  <w:style w:type="paragraph" w:customStyle="1" w:styleId="130">
    <w:name w:val="Normal_0_2"/>
    <w:qFormat/>
    <w:uiPriority w:val="0"/>
    <w:rPr>
      <w:rFonts w:ascii="Times New Roman" w:hAnsi="Times New Roman" w:eastAsia="Times New Roman" w:cs="Times New Roman"/>
      <w:sz w:val="24"/>
      <w:szCs w:val="24"/>
      <w:lang w:val="en-US" w:eastAsia="zh-CN" w:bidi="ar-SA"/>
    </w:rPr>
  </w:style>
  <w:style w:type="paragraph" w:customStyle="1" w:styleId="131">
    <w:name w:val="Normal_0_1"/>
    <w:qFormat/>
    <w:uiPriority w:val="0"/>
    <w:rPr>
      <w:rFonts w:ascii="Times New Roman" w:hAnsi="Times New Roman" w:eastAsia="Times New Roman" w:cs="Times New Roman"/>
      <w:sz w:val="24"/>
      <w:szCs w:val="24"/>
      <w:lang w:val="en-US" w:eastAsia="zh-CN" w:bidi="ar-SA"/>
    </w:rPr>
  </w:style>
  <w:style w:type="table" w:customStyle="1" w:styleId="132">
    <w:name w:val="网格型4"/>
    <w:basedOn w:val="57"/>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3">
    <w:name w:val="网格型5"/>
    <w:basedOn w:val="5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4">
    <w:name w:val="zbggmain style9"/>
    <w:basedOn w:val="59"/>
    <w:qFormat/>
    <w:uiPriority w:val="0"/>
  </w:style>
  <w:style w:type="character" w:customStyle="1" w:styleId="135">
    <w:name w:val="访问过的超链接1"/>
    <w:qFormat/>
    <w:uiPriority w:val="99"/>
    <w:rPr>
      <w:color w:val="800080"/>
      <w:u w:val="single"/>
    </w:rPr>
  </w:style>
  <w:style w:type="character" w:customStyle="1" w:styleId="136">
    <w:name w:val="style51"/>
    <w:qFormat/>
    <w:uiPriority w:val="0"/>
    <w:rPr>
      <w:b/>
      <w:bCs/>
      <w:color w:val="000066"/>
      <w:sz w:val="36"/>
      <w:szCs w:val="36"/>
    </w:rPr>
  </w:style>
  <w:style w:type="character" w:customStyle="1" w:styleId="137">
    <w:name w:val="main"/>
    <w:basedOn w:val="59"/>
    <w:qFormat/>
    <w:uiPriority w:val="0"/>
  </w:style>
  <w:style w:type="character" w:customStyle="1" w:styleId="138">
    <w:name w:val="标题 字符"/>
    <w:basedOn w:val="59"/>
    <w:link w:val="53"/>
    <w:qFormat/>
    <w:uiPriority w:val="0"/>
    <w:rPr>
      <w:b/>
      <w:bCs/>
      <w:spacing w:val="60"/>
      <w:kern w:val="2"/>
      <w:sz w:val="32"/>
      <w:szCs w:val="24"/>
    </w:rPr>
  </w:style>
  <w:style w:type="paragraph" w:customStyle="1" w:styleId="139">
    <w:name w:val="Char"/>
    <w:basedOn w:val="1"/>
    <w:qFormat/>
    <w:uiPriority w:val="0"/>
    <w:rPr>
      <w:szCs w:val="24"/>
    </w:rPr>
  </w:style>
  <w:style w:type="paragraph" w:customStyle="1" w:styleId="140">
    <w:name w:val="2"/>
    <w:basedOn w:val="1"/>
    <w:next w:val="44"/>
    <w:qFormat/>
    <w:uiPriority w:val="99"/>
    <w:pPr>
      <w:spacing w:line="480" w:lineRule="auto"/>
      <w:ind w:firstLine="356" w:firstLineChars="127"/>
    </w:pPr>
    <w:rPr>
      <w:sz w:val="28"/>
      <w:szCs w:val="24"/>
    </w:rPr>
  </w:style>
  <w:style w:type="paragraph" w:customStyle="1" w:styleId="141">
    <w:name w:val="flType"/>
    <w:basedOn w:val="1"/>
    <w:qFormat/>
    <w:uiPriority w:val="0"/>
    <w:pPr>
      <w:adjustRightInd w:val="0"/>
      <w:spacing w:after="284" w:line="113" w:lineRule="atLeast"/>
      <w:jc w:val="center"/>
      <w:textAlignment w:val="baseline"/>
    </w:pPr>
    <w:rPr>
      <w:kern w:val="0"/>
      <w:sz w:val="24"/>
    </w:rPr>
  </w:style>
  <w:style w:type="paragraph" w:customStyle="1" w:styleId="142">
    <w:name w:val="Char Char Char Char Char Char Char Char Char Char"/>
    <w:basedOn w:val="1"/>
    <w:qFormat/>
    <w:uiPriority w:val="0"/>
    <w:rPr>
      <w:rFonts w:ascii="Tahoma" w:hAnsi="Tahoma" w:eastAsia="楷体_GB2312"/>
      <w:spacing w:val="10"/>
      <w:sz w:val="24"/>
    </w:rPr>
  </w:style>
  <w:style w:type="paragraph" w:customStyle="1" w:styleId="143">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szCs w:val="24"/>
    </w:rPr>
  </w:style>
  <w:style w:type="paragraph" w:customStyle="1" w:styleId="144">
    <w:name w:val="TOC 标题1"/>
    <w:basedOn w:val="2"/>
    <w:next w:val="1"/>
    <w:qFormat/>
    <w:uiPriority w:val="0"/>
    <w:pPr>
      <w:widowControl/>
      <w:adjustRightInd/>
      <w:spacing w:before="480" w:after="0" w:line="276" w:lineRule="auto"/>
      <w:jc w:val="left"/>
      <w:textAlignment w:val="auto"/>
      <w:outlineLvl w:val="9"/>
    </w:pPr>
    <w:rPr>
      <w:rFonts w:ascii="Cambria" w:hAnsi="Cambria"/>
      <w:bCs/>
      <w:color w:val="365F91"/>
      <w:kern w:val="0"/>
      <w:sz w:val="28"/>
      <w:szCs w:val="28"/>
    </w:rPr>
  </w:style>
  <w:style w:type="paragraph" w:customStyle="1" w:styleId="145">
    <w:name w:val="paragraphinden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4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rPr>
  </w:style>
  <w:style w:type="paragraph" w:customStyle="1" w:styleId="147">
    <w:name w:val="Char Char Char Char Char Char Char Char Char Char Char Char Char"/>
    <w:basedOn w:val="1"/>
    <w:qFormat/>
    <w:uiPriority w:val="0"/>
    <w:pPr>
      <w:widowControl/>
      <w:spacing w:line="400" w:lineRule="exact"/>
      <w:jc w:val="center"/>
    </w:pPr>
    <w:rPr>
      <w:rFonts w:ascii="Verdana" w:hAnsi="Verdana"/>
      <w:kern w:val="0"/>
      <w:lang w:eastAsia="en-US"/>
    </w:rPr>
  </w:style>
  <w:style w:type="character" w:customStyle="1" w:styleId="148">
    <w:name w:val="纯文本 Char1"/>
    <w:basedOn w:val="59"/>
    <w:qFormat/>
    <w:uiPriority w:val="0"/>
    <w:rPr>
      <w:rFonts w:ascii="宋体" w:hAnsi="Courier New" w:cs="Courier New"/>
      <w:kern w:val="2"/>
      <w:sz w:val="21"/>
      <w:szCs w:val="21"/>
    </w:rPr>
  </w:style>
  <w:style w:type="character" w:customStyle="1" w:styleId="149">
    <w:name w:val="Variable"/>
    <w:qFormat/>
    <w:uiPriority w:val="0"/>
    <w:rPr>
      <w:i/>
    </w:rPr>
  </w:style>
  <w:style w:type="paragraph" w:customStyle="1" w:styleId="150">
    <w:name w:val="样式 标题 1 + 宋体 居中 段前: 48 磅 段后: 12 磅 行距: 1.5 倍行距"/>
    <w:basedOn w:val="2"/>
    <w:qFormat/>
    <w:uiPriority w:val="0"/>
    <w:pPr>
      <w:keepNext w:val="0"/>
      <w:keepLines w:val="0"/>
      <w:spacing w:before="0" w:after="0" w:line="360" w:lineRule="auto"/>
      <w:jc w:val="center"/>
    </w:pPr>
    <w:rPr>
      <w:rFonts w:ascii="宋体" w:hAnsi="宋体" w:eastAsia="黑体" w:cs="宋体"/>
      <w:bCs/>
      <w:kern w:val="2"/>
      <w:sz w:val="32"/>
      <w:szCs w:val="32"/>
      <w:lang w:val="zh-CN"/>
    </w:rPr>
  </w:style>
  <w:style w:type="paragraph" w:customStyle="1" w:styleId="151">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152">
    <w:name w:val="F正文"/>
    <w:basedOn w:val="1"/>
    <w:qFormat/>
    <w:uiPriority w:val="99"/>
    <w:pPr>
      <w:spacing w:line="360" w:lineRule="auto"/>
      <w:ind w:firstLine="200" w:firstLineChars="200"/>
    </w:pPr>
    <w:rPr>
      <w:rFonts w:eastAsia="仿宋_GB2312"/>
      <w:sz w:val="28"/>
    </w:rPr>
  </w:style>
  <w:style w:type="paragraph" w:customStyle="1" w:styleId="153">
    <w:name w:val="WPSOffice手动目录 1"/>
    <w:qFormat/>
    <w:uiPriority w:val="0"/>
    <w:rPr>
      <w:rFonts w:ascii="Times New Roman" w:hAnsi="Times New Roman" w:eastAsia="宋体" w:cs="Times New Roman"/>
      <w:lang w:val="en-US" w:eastAsia="zh-CN" w:bidi="ar-SA"/>
    </w:rPr>
  </w:style>
  <w:style w:type="paragraph" w:customStyle="1" w:styleId="154">
    <w:name w:val="WPSOffice手动目录 2"/>
    <w:qFormat/>
    <w:uiPriority w:val="99"/>
    <w:pPr>
      <w:ind w:left="200" w:leftChars="200"/>
    </w:pPr>
    <w:rPr>
      <w:rFonts w:ascii="Times New Roman" w:hAnsi="Times New Roman" w:eastAsia="宋体" w:cs="Times New Roman"/>
      <w:lang w:val="en-US" w:eastAsia="zh-CN" w:bidi="ar-SA"/>
    </w:rPr>
  </w:style>
  <w:style w:type="character" w:customStyle="1" w:styleId="155">
    <w:name w:val="明显强调1"/>
    <w:basedOn w:val="59"/>
    <w:qFormat/>
    <w:uiPriority w:val="0"/>
    <w:rPr>
      <w:b/>
      <w:bCs/>
      <w:i/>
      <w:iCs/>
      <w:color w:val="4F81BD"/>
    </w:rPr>
  </w:style>
  <w:style w:type="character" w:customStyle="1" w:styleId="156">
    <w:name w:val="标题 1 Char1"/>
    <w:qFormat/>
    <w:uiPriority w:val="0"/>
    <w:rPr>
      <w:rFonts w:ascii="Calibri" w:hAnsi="Calibri" w:eastAsia="宋体" w:cs="Arial"/>
      <w:b/>
      <w:kern w:val="44"/>
      <w:sz w:val="44"/>
      <w:szCs w:val="20"/>
    </w:rPr>
  </w:style>
  <w:style w:type="character" w:customStyle="1" w:styleId="157">
    <w:name w:val="textcontents"/>
    <w:qFormat/>
    <w:uiPriority w:val="0"/>
    <w:rPr>
      <w:rFonts w:cs="Times New Roman"/>
    </w:rPr>
  </w:style>
  <w:style w:type="character" w:customStyle="1" w:styleId="158">
    <w:name w:val="Plain Text Char"/>
    <w:qFormat/>
    <w:uiPriority w:val="0"/>
    <w:rPr>
      <w:rFonts w:ascii="宋体" w:hAnsi="Courier New" w:eastAsia="宋体"/>
      <w:sz w:val="24"/>
      <w:lang w:bidi="ar-SA"/>
    </w:rPr>
  </w:style>
  <w:style w:type="character" w:customStyle="1" w:styleId="159">
    <w:name w:val="标题4 Char Char"/>
    <w:link w:val="160"/>
    <w:qFormat/>
    <w:uiPriority w:val="0"/>
    <w:rPr>
      <w:rFonts w:ascii="Arial" w:hAnsi="Arial"/>
      <w:b/>
      <w:bCs/>
      <w:sz w:val="24"/>
      <w:szCs w:val="32"/>
    </w:rPr>
  </w:style>
  <w:style w:type="paragraph" w:customStyle="1" w:styleId="160">
    <w:name w:val="标题4"/>
    <w:basedOn w:val="3"/>
    <w:next w:val="25"/>
    <w:link w:val="159"/>
    <w:qFormat/>
    <w:uiPriority w:val="0"/>
    <w:pPr>
      <w:adjustRightInd/>
      <w:spacing w:before="60" w:after="60" w:line="413" w:lineRule="auto"/>
      <w:textAlignment w:val="auto"/>
    </w:pPr>
    <w:rPr>
      <w:rFonts w:eastAsia="宋体"/>
      <w:bCs/>
      <w:sz w:val="24"/>
      <w:szCs w:val="32"/>
    </w:rPr>
  </w:style>
  <w:style w:type="character" w:customStyle="1" w:styleId="161">
    <w:name w:val="Comment Text Char"/>
    <w:qFormat/>
    <w:uiPriority w:val="0"/>
    <w:rPr>
      <w:rFonts w:cs="Times New Roman"/>
      <w:sz w:val="24"/>
      <w:szCs w:val="24"/>
    </w:rPr>
  </w:style>
  <w:style w:type="character" w:customStyle="1" w:styleId="162">
    <w:name w:val="Date Char"/>
    <w:qFormat/>
    <w:uiPriority w:val="0"/>
    <w:rPr>
      <w:rFonts w:eastAsia="宋体"/>
      <w:kern w:val="2"/>
      <w:sz w:val="21"/>
      <w:szCs w:val="24"/>
      <w:lang w:val="en-US" w:eastAsia="zh-CN" w:bidi="ar-SA"/>
    </w:rPr>
  </w:style>
  <w:style w:type="character" w:customStyle="1" w:styleId="163">
    <w:name w:val="引用 Char1"/>
    <w:qFormat/>
    <w:uiPriority w:val="0"/>
    <w:rPr>
      <w:rFonts w:ascii="Times New Roman" w:hAnsi="Times New Roman" w:eastAsia="宋体" w:cs="Times New Roman"/>
      <w:i/>
      <w:iCs/>
      <w:color w:val="000000"/>
      <w:szCs w:val="24"/>
    </w:rPr>
  </w:style>
  <w:style w:type="character" w:customStyle="1" w:styleId="164">
    <w:name w:val="Heading 3 Char"/>
    <w:qFormat/>
    <w:uiPriority w:val="0"/>
    <w:rPr>
      <w:rFonts w:cs="Times New Roman"/>
      <w:b/>
      <w:bCs/>
      <w:kern w:val="2"/>
      <w:sz w:val="32"/>
      <w:szCs w:val="32"/>
    </w:rPr>
  </w:style>
  <w:style w:type="character" w:customStyle="1" w:styleId="165">
    <w:name w:val="标题5 Char Char"/>
    <w:link w:val="166"/>
    <w:qFormat/>
    <w:uiPriority w:val="0"/>
    <w:rPr>
      <w:rFonts w:ascii="Arial" w:hAnsi="Arial"/>
      <w:b/>
      <w:bCs/>
      <w:sz w:val="24"/>
      <w:szCs w:val="32"/>
    </w:rPr>
  </w:style>
  <w:style w:type="paragraph" w:customStyle="1" w:styleId="166">
    <w:name w:val="标题5"/>
    <w:basedOn w:val="4"/>
    <w:link w:val="165"/>
    <w:qFormat/>
    <w:uiPriority w:val="0"/>
    <w:pPr>
      <w:adjustRightInd/>
      <w:spacing w:line="413" w:lineRule="auto"/>
      <w:textAlignment w:val="auto"/>
    </w:pPr>
    <w:rPr>
      <w:rFonts w:ascii="Arial" w:hAnsi="Arial"/>
      <w:bCs/>
      <w:sz w:val="24"/>
      <w:szCs w:val="32"/>
    </w:rPr>
  </w:style>
  <w:style w:type="character" w:customStyle="1" w:styleId="167">
    <w:name w:val="Heading 5 Char"/>
    <w:qFormat/>
    <w:uiPriority w:val="0"/>
    <w:rPr>
      <w:rFonts w:eastAsia="宋体"/>
      <w:b/>
      <w:bCs/>
      <w:kern w:val="2"/>
      <w:sz w:val="28"/>
      <w:szCs w:val="28"/>
      <w:lang w:val="en-US" w:eastAsia="zh-CN" w:bidi="ar-SA"/>
    </w:rPr>
  </w:style>
  <w:style w:type="character" w:customStyle="1" w:styleId="168">
    <w:name w:val="批注框文本 Char1"/>
    <w:qFormat/>
    <w:uiPriority w:val="0"/>
    <w:rPr>
      <w:rFonts w:ascii="Times New Roman" w:hAnsi="Times New Roman" w:eastAsia="宋体" w:cs="Times New Roman"/>
      <w:sz w:val="18"/>
      <w:szCs w:val="18"/>
    </w:rPr>
  </w:style>
  <w:style w:type="character" w:customStyle="1" w:styleId="169">
    <w:name w:val="Char Char181"/>
    <w:qFormat/>
    <w:uiPriority w:val="0"/>
    <w:rPr>
      <w:b/>
      <w:bCs/>
      <w:kern w:val="44"/>
      <w:sz w:val="44"/>
      <w:szCs w:val="44"/>
    </w:rPr>
  </w:style>
  <w:style w:type="character" w:customStyle="1" w:styleId="170">
    <w:name w:val="Heading 3 Char1"/>
    <w:qFormat/>
    <w:uiPriority w:val="0"/>
    <w:rPr>
      <w:rFonts w:eastAsia="宋体"/>
      <w:b/>
      <w:bCs/>
      <w:kern w:val="2"/>
      <w:sz w:val="24"/>
      <w:szCs w:val="32"/>
      <w:lang w:val="en-US" w:eastAsia="zh-CN" w:bidi="ar-SA"/>
    </w:rPr>
  </w:style>
  <w:style w:type="character" w:customStyle="1" w:styleId="171">
    <w:name w:val="明显参考1"/>
    <w:qFormat/>
    <w:uiPriority w:val="0"/>
    <w:rPr>
      <w:b/>
      <w:bCs/>
      <w:smallCaps/>
      <w:color w:val="C0504D"/>
      <w:spacing w:val="5"/>
      <w:u w:val="single"/>
    </w:rPr>
  </w:style>
  <w:style w:type="character" w:customStyle="1" w:styleId="172">
    <w:name w:val="Char Char20"/>
    <w:qFormat/>
    <w:uiPriority w:val="0"/>
    <w:rPr>
      <w:rFonts w:ascii="Times New Roman" w:hAnsi="Times New Roman" w:eastAsia="宋体" w:cs="Times New Roman"/>
      <w:b/>
      <w:bCs/>
      <w:sz w:val="24"/>
      <w:szCs w:val="32"/>
    </w:rPr>
  </w:style>
  <w:style w:type="character" w:customStyle="1" w:styleId="173">
    <w:name w:val="Comment Text Char1"/>
    <w:qFormat/>
    <w:uiPriority w:val="0"/>
    <w:rPr>
      <w:sz w:val="24"/>
      <w:lang w:bidi="ar-SA"/>
    </w:rPr>
  </w:style>
  <w:style w:type="character" w:customStyle="1" w:styleId="174">
    <w:name w:val="正文文本 Char1"/>
    <w:qFormat/>
    <w:uiPriority w:val="0"/>
    <w:rPr>
      <w:kern w:val="2"/>
      <w:sz w:val="21"/>
      <w:szCs w:val="22"/>
    </w:rPr>
  </w:style>
  <w:style w:type="character" w:customStyle="1" w:styleId="175">
    <w:name w:val="Char Char23"/>
    <w:qFormat/>
    <w:uiPriority w:val="0"/>
    <w:rPr>
      <w:rFonts w:eastAsia="宋体"/>
      <w:b/>
      <w:bCs/>
      <w:kern w:val="44"/>
      <w:sz w:val="32"/>
      <w:szCs w:val="44"/>
      <w:lang w:val="en-US" w:eastAsia="zh-CN" w:bidi="ar-SA"/>
    </w:rPr>
  </w:style>
  <w:style w:type="character" w:customStyle="1" w:styleId="176">
    <w:name w:val="Heading 4 Char"/>
    <w:qFormat/>
    <w:uiPriority w:val="0"/>
    <w:rPr>
      <w:rFonts w:ascii="Arial" w:hAnsi="Arial" w:eastAsia="宋体"/>
      <w:b/>
      <w:bCs/>
      <w:kern w:val="2"/>
      <w:sz w:val="21"/>
      <w:szCs w:val="28"/>
      <w:lang w:val="en-US" w:eastAsia="zh-CN" w:bidi="ar-SA"/>
    </w:rPr>
  </w:style>
  <w:style w:type="character" w:customStyle="1" w:styleId="177">
    <w:name w:val="Title Char"/>
    <w:qFormat/>
    <w:uiPriority w:val="0"/>
    <w:rPr>
      <w:rFonts w:ascii="Cambria" w:hAnsi="Cambria"/>
      <w:b/>
      <w:sz w:val="32"/>
      <w:lang w:bidi="ar-SA"/>
    </w:rPr>
  </w:style>
  <w:style w:type="character" w:customStyle="1" w:styleId="178">
    <w:name w:val="批注文字 Char Char"/>
    <w:qFormat/>
    <w:uiPriority w:val="0"/>
    <w:rPr>
      <w:rFonts w:ascii="宋体" w:hAnsi="Times New Roman" w:eastAsia="宋体" w:cs="Times New Roman"/>
      <w:sz w:val="28"/>
      <w:szCs w:val="20"/>
    </w:rPr>
  </w:style>
  <w:style w:type="character" w:customStyle="1" w:styleId="179">
    <w:name w:val="Char Char21"/>
    <w:qFormat/>
    <w:uiPriority w:val="0"/>
    <w:rPr>
      <w:rFonts w:ascii="Arial" w:hAnsi="Arial" w:eastAsia="黑体" w:cs="Times New Roman"/>
      <w:b/>
      <w:bCs/>
      <w:sz w:val="32"/>
      <w:szCs w:val="32"/>
    </w:rPr>
  </w:style>
  <w:style w:type="character" w:customStyle="1" w:styleId="180">
    <w:name w:val="不明显强调1"/>
    <w:qFormat/>
    <w:uiPriority w:val="0"/>
    <w:rPr>
      <w:i/>
      <w:iCs/>
      <w:color w:val="808080"/>
    </w:rPr>
  </w:style>
  <w:style w:type="character" w:customStyle="1" w:styleId="181">
    <w:name w:val="不明显参考1"/>
    <w:qFormat/>
    <w:uiPriority w:val="0"/>
    <w:rPr>
      <w:smallCaps/>
      <w:color w:val="C0504D"/>
      <w:u w:val="single"/>
    </w:rPr>
  </w:style>
  <w:style w:type="character" w:customStyle="1" w:styleId="182">
    <w:name w:val="日期 Char1"/>
    <w:qFormat/>
    <w:uiPriority w:val="0"/>
    <w:rPr>
      <w:rFonts w:ascii="Times New Roman" w:hAnsi="Times New Roman" w:eastAsia="宋体" w:cs="Times New Roman"/>
      <w:szCs w:val="24"/>
    </w:rPr>
  </w:style>
  <w:style w:type="character" w:customStyle="1" w:styleId="183">
    <w:name w:val="Body Text Indent 2 Char"/>
    <w:qFormat/>
    <w:uiPriority w:val="0"/>
    <w:rPr>
      <w:rFonts w:eastAsia="宋体"/>
      <w:kern w:val="2"/>
      <w:sz w:val="21"/>
      <w:szCs w:val="24"/>
      <w:lang w:val="en-US" w:eastAsia="zh-CN" w:bidi="ar-SA"/>
    </w:rPr>
  </w:style>
  <w:style w:type="character" w:customStyle="1" w:styleId="184">
    <w:name w:val="明显引用 Char1"/>
    <w:qFormat/>
    <w:uiPriority w:val="0"/>
    <w:rPr>
      <w:rFonts w:ascii="Times New Roman" w:hAnsi="Times New Roman" w:eastAsia="宋体" w:cs="Times New Roman"/>
      <w:b/>
      <w:bCs/>
      <w:i/>
      <w:iCs/>
      <w:color w:val="4F81BD"/>
      <w:szCs w:val="24"/>
    </w:rPr>
  </w:style>
  <w:style w:type="character" w:customStyle="1" w:styleId="185">
    <w:name w:val="Char Char18"/>
    <w:qFormat/>
    <w:uiPriority w:val="0"/>
    <w:rPr>
      <w:rFonts w:ascii="Times New Roman" w:hAnsi="Times New Roman" w:eastAsia="宋体" w:cs="Times New Roman"/>
      <w:b/>
      <w:bCs/>
      <w:sz w:val="28"/>
      <w:szCs w:val="28"/>
    </w:rPr>
  </w:style>
  <w:style w:type="character" w:customStyle="1" w:styleId="186">
    <w:name w:val="Header Char"/>
    <w:qFormat/>
    <w:uiPriority w:val="0"/>
    <w:rPr>
      <w:rFonts w:eastAsia="宋体"/>
      <w:kern w:val="2"/>
      <w:sz w:val="18"/>
      <w:szCs w:val="18"/>
      <w:lang w:val="en-US" w:eastAsia="zh-CN" w:bidi="ar-SA"/>
    </w:rPr>
  </w:style>
  <w:style w:type="character" w:customStyle="1" w:styleId="187">
    <w:name w:val="Footer Char"/>
    <w:qFormat/>
    <w:uiPriority w:val="0"/>
    <w:rPr>
      <w:rFonts w:eastAsia="宋体"/>
      <w:kern w:val="2"/>
      <w:sz w:val="18"/>
      <w:szCs w:val="18"/>
      <w:lang w:val="en-US" w:eastAsia="zh-CN" w:bidi="ar-SA"/>
    </w:rPr>
  </w:style>
  <w:style w:type="character" w:customStyle="1" w:styleId="188">
    <w:name w:val="Char Char24"/>
    <w:qFormat/>
    <w:uiPriority w:val="0"/>
    <w:rPr>
      <w:rFonts w:eastAsia="宋体"/>
      <w:b/>
      <w:bCs/>
      <w:kern w:val="44"/>
      <w:sz w:val="32"/>
      <w:szCs w:val="44"/>
      <w:lang w:val="en-US" w:eastAsia="zh-CN" w:bidi="ar-SA"/>
    </w:rPr>
  </w:style>
  <w:style w:type="character" w:customStyle="1" w:styleId="189">
    <w:name w:val="Char Char91"/>
    <w:qFormat/>
    <w:uiPriority w:val="0"/>
    <w:rPr>
      <w:rFonts w:eastAsia="宋体"/>
      <w:b/>
      <w:bCs/>
      <w:kern w:val="44"/>
      <w:sz w:val="32"/>
      <w:szCs w:val="44"/>
      <w:lang w:val="en-US" w:eastAsia="zh-CN" w:bidi="ar-SA"/>
    </w:rPr>
  </w:style>
  <w:style w:type="character" w:customStyle="1" w:styleId="190">
    <w:name w:val="副标题 Char"/>
    <w:qFormat/>
    <w:uiPriority w:val="0"/>
    <w:rPr>
      <w:rFonts w:ascii="Cambria" w:hAnsi="Cambria"/>
      <w:b/>
      <w:bCs/>
      <w:kern w:val="28"/>
      <w:sz w:val="32"/>
      <w:szCs w:val="32"/>
    </w:rPr>
  </w:style>
  <w:style w:type="character" w:customStyle="1" w:styleId="191">
    <w:name w:val="Comment Subject Char"/>
    <w:qFormat/>
    <w:uiPriority w:val="0"/>
    <w:rPr>
      <w:b/>
      <w:sz w:val="24"/>
      <w:lang w:bidi="ar-SA"/>
    </w:rPr>
  </w:style>
  <w:style w:type="character" w:customStyle="1" w:styleId="192">
    <w:name w:val="Char Char19"/>
    <w:qFormat/>
    <w:uiPriority w:val="0"/>
    <w:rPr>
      <w:rFonts w:ascii="Arial" w:hAnsi="Arial" w:eastAsia="宋体" w:cs="Times New Roman"/>
      <w:b/>
      <w:bCs/>
      <w:szCs w:val="28"/>
    </w:rPr>
  </w:style>
  <w:style w:type="character" w:customStyle="1" w:styleId="193">
    <w:name w:val="Document Map Char"/>
    <w:qFormat/>
    <w:uiPriority w:val="0"/>
    <w:rPr>
      <w:rFonts w:eastAsia="宋体"/>
      <w:kern w:val="2"/>
      <w:sz w:val="21"/>
      <w:szCs w:val="24"/>
      <w:lang w:val="en-US" w:eastAsia="zh-CN" w:bidi="ar-SA"/>
    </w:rPr>
  </w:style>
  <w:style w:type="character" w:customStyle="1" w:styleId="194">
    <w:name w:val="引用 Char"/>
    <w:qFormat/>
    <w:uiPriority w:val="0"/>
    <w:rPr>
      <w:i/>
      <w:iCs/>
      <w:color w:val="000000"/>
    </w:rPr>
  </w:style>
  <w:style w:type="paragraph" w:styleId="195">
    <w:name w:val="Quote"/>
    <w:basedOn w:val="1"/>
    <w:next w:val="1"/>
    <w:link w:val="223"/>
    <w:qFormat/>
    <w:uiPriority w:val="0"/>
    <w:rPr>
      <w:i/>
      <w:iCs/>
      <w:color w:val="000000"/>
      <w:kern w:val="0"/>
      <w:sz w:val="20"/>
    </w:rPr>
  </w:style>
  <w:style w:type="character" w:customStyle="1" w:styleId="196">
    <w:name w:val="Balloon Text Char"/>
    <w:qFormat/>
    <w:uiPriority w:val="0"/>
    <w:rPr>
      <w:sz w:val="18"/>
      <w:lang w:bidi="ar-SA"/>
    </w:rPr>
  </w:style>
  <w:style w:type="character" w:customStyle="1" w:styleId="197">
    <w:name w:val="Body Text Indent Char"/>
    <w:qFormat/>
    <w:uiPriority w:val="0"/>
    <w:rPr>
      <w:rFonts w:ascii="宋体" w:hAnsi="宋体" w:eastAsia="宋体"/>
      <w:kern w:val="2"/>
      <w:sz w:val="21"/>
      <w:lang w:val="en-US" w:eastAsia="zh-CN" w:bidi="ar-SA"/>
    </w:rPr>
  </w:style>
  <w:style w:type="character" w:customStyle="1" w:styleId="198">
    <w:name w:val="Footnote Text Char"/>
    <w:qFormat/>
    <w:uiPriority w:val="0"/>
    <w:rPr>
      <w:rFonts w:eastAsia="宋体"/>
      <w:sz w:val="18"/>
      <w:lang w:val="en-US" w:eastAsia="zh-CN" w:bidi="ar-SA"/>
    </w:rPr>
  </w:style>
  <w:style w:type="character" w:customStyle="1" w:styleId="199">
    <w:name w:val="Heading 1 Char"/>
    <w:qFormat/>
    <w:uiPriority w:val="0"/>
    <w:rPr>
      <w:rFonts w:eastAsia="宋体"/>
      <w:b/>
      <w:bCs/>
      <w:kern w:val="44"/>
      <w:sz w:val="32"/>
      <w:szCs w:val="44"/>
      <w:lang w:val="en-US" w:eastAsia="zh-CN" w:bidi="ar-SA"/>
    </w:rPr>
  </w:style>
  <w:style w:type="character" w:customStyle="1" w:styleId="200">
    <w:name w:val="明显引用 Char"/>
    <w:qFormat/>
    <w:uiPriority w:val="0"/>
    <w:rPr>
      <w:b/>
      <w:bCs/>
      <w:i/>
      <w:iCs/>
      <w:color w:val="4F81BD"/>
    </w:rPr>
  </w:style>
  <w:style w:type="paragraph" w:styleId="201">
    <w:name w:val="Intense Quote"/>
    <w:basedOn w:val="1"/>
    <w:next w:val="1"/>
    <w:link w:val="231"/>
    <w:qFormat/>
    <w:uiPriority w:val="0"/>
    <w:pPr>
      <w:pBdr>
        <w:bottom w:val="single" w:color="4F81BD" w:sz="4" w:space="4"/>
      </w:pBdr>
      <w:spacing w:before="200" w:after="280"/>
      <w:ind w:left="936" w:right="936"/>
    </w:pPr>
    <w:rPr>
      <w:b/>
      <w:bCs/>
      <w:i/>
      <w:iCs/>
      <w:color w:val="4F81BD"/>
      <w:kern w:val="0"/>
      <w:sz w:val="20"/>
    </w:rPr>
  </w:style>
  <w:style w:type="character" w:customStyle="1" w:styleId="202">
    <w:name w:val="批注文字 Char1"/>
    <w:qFormat/>
    <w:uiPriority w:val="0"/>
    <w:rPr>
      <w:rFonts w:ascii="Times New Roman" w:hAnsi="Times New Roman" w:eastAsia="宋体" w:cs="Times New Roman"/>
      <w:szCs w:val="24"/>
    </w:rPr>
  </w:style>
  <w:style w:type="character" w:customStyle="1" w:styleId="203">
    <w:name w:val="Char Char6"/>
    <w:qFormat/>
    <w:uiPriority w:val="0"/>
    <w:rPr>
      <w:rFonts w:eastAsia="宋体"/>
      <w:b/>
      <w:bCs/>
      <w:kern w:val="44"/>
      <w:sz w:val="32"/>
      <w:szCs w:val="44"/>
      <w:lang w:val="en-US" w:eastAsia="zh-CN" w:bidi="ar-SA"/>
    </w:rPr>
  </w:style>
  <w:style w:type="character" w:customStyle="1" w:styleId="204">
    <w:name w:val="副标题 Char1"/>
    <w:qFormat/>
    <w:uiPriority w:val="11"/>
    <w:rPr>
      <w:rFonts w:hint="default" w:ascii="Cambria" w:hAnsi="Cambria" w:cs="Times New Roman"/>
      <w:b/>
      <w:bCs/>
      <w:kern w:val="28"/>
      <w:sz w:val="32"/>
      <w:szCs w:val="32"/>
    </w:rPr>
  </w:style>
  <w:style w:type="character" w:customStyle="1" w:styleId="205">
    <w:name w:val="样式 Char"/>
    <w:link w:val="206"/>
    <w:qFormat/>
    <w:locked/>
    <w:uiPriority w:val="0"/>
    <w:rPr>
      <w:rFonts w:ascii="宋体" w:hAnsi="宋体" w:cs="宋体"/>
      <w:sz w:val="24"/>
      <w:szCs w:val="24"/>
    </w:rPr>
  </w:style>
  <w:style w:type="paragraph" w:customStyle="1" w:styleId="206">
    <w:name w:val="样式"/>
    <w:link w:val="205"/>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207">
    <w:name w:val="批注文字 Char2"/>
    <w:qFormat/>
    <w:uiPriority w:val="0"/>
    <w:rPr>
      <w:rFonts w:eastAsia="宋体"/>
      <w:kern w:val="2"/>
      <w:sz w:val="21"/>
      <w:szCs w:val="24"/>
      <w:lang w:val="en-US" w:eastAsia="zh-CN" w:bidi="ar-SA"/>
    </w:rPr>
  </w:style>
  <w:style w:type="character" w:customStyle="1" w:styleId="208">
    <w:name w:val="Char Char9"/>
    <w:qFormat/>
    <w:uiPriority w:val="0"/>
    <w:rPr>
      <w:rFonts w:eastAsia="宋体"/>
      <w:b/>
      <w:bCs/>
      <w:kern w:val="44"/>
      <w:sz w:val="32"/>
      <w:szCs w:val="44"/>
      <w:lang w:val="en-US" w:eastAsia="zh-CN" w:bidi="ar-SA"/>
    </w:rPr>
  </w:style>
  <w:style w:type="character" w:customStyle="1" w:styleId="209">
    <w:name w:val="超链接_0"/>
    <w:qFormat/>
    <w:uiPriority w:val="99"/>
    <w:rPr>
      <w:rFonts w:ascii="Calibri" w:hAnsi="Calibri" w:cs="Times New Roman"/>
      <w:color w:val="0000FF"/>
      <w:u w:val="single"/>
    </w:rPr>
  </w:style>
  <w:style w:type="character" w:customStyle="1" w:styleId="210">
    <w:name w:val="标题 2 Char1"/>
    <w:qFormat/>
    <w:uiPriority w:val="0"/>
    <w:rPr>
      <w:rFonts w:ascii="Arial" w:hAnsi="Arial" w:eastAsia="黑体" w:cs="Calibri"/>
      <w:b/>
      <w:kern w:val="0"/>
      <w:sz w:val="32"/>
      <w:szCs w:val="20"/>
    </w:rPr>
  </w:style>
  <w:style w:type="character" w:customStyle="1" w:styleId="211">
    <w:name w:val="Heading 2 Char"/>
    <w:qFormat/>
    <w:uiPriority w:val="0"/>
    <w:rPr>
      <w:rFonts w:ascii="Arial" w:hAnsi="Arial" w:eastAsia="黑体"/>
      <w:b/>
      <w:bCs/>
      <w:kern w:val="2"/>
      <w:sz w:val="32"/>
      <w:szCs w:val="32"/>
      <w:lang w:val="en-US" w:eastAsia="zh-CN" w:bidi="ar-SA"/>
    </w:rPr>
  </w:style>
  <w:style w:type="character" w:customStyle="1" w:styleId="212">
    <w:name w:val="标题 Char1"/>
    <w:qFormat/>
    <w:uiPriority w:val="10"/>
    <w:rPr>
      <w:rFonts w:ascii="Cambria" w:hAnsi="Cambria" w:eastAsia="宋体" w:cs="Times New Roman"/>
      <w:b/>
      <w:bCs/>
      <w:sz w:val="32"/>
      <w:szCs w:val="32"/>
    </w:rPr>
  </w:style>
  <w:style w:type="character" w:customStyle="1" w:styleId="213">
    <w:name w:val="批注主题 Char1"/>
    <w:qFormat/>
    <w:uiPriority w:val="0"/>
    <w:rPr>
      <w:rFonts w:ascii="Times New Roman" w:hAnsi="Times New Roman" w:eastAsia="宋体" w:cs="Times New Roman"/>
      <w:b/>
      <w:bCs/>
      <w:szCs w:val="24"/>
    </w:rPr>
  </w:style>
  <w:style w:type="character" w:customStyle="1" w:styleId="214">
    <w:name w:val="文档结构图 Char1"/>
    <w:qFormat/>
    <w:uiPriority w:val="0"/>
    <w:rPr>
      <w:rFonts w:ascii="宋体" w:hAnsi="Times New Roman" w:eastAsia="宋体" w:cs="Times New Roman"/>
      <w:sz w:val="18"/>
      <w:szCs w:val="18"/>
    </w:rPr>
  </w:style>
  <w:style w:type="character" w:customStyle="1" w:styleId="215">
    <w:name w:val="Char Char22"/>
    <w:qFormat/>
    <w:uiPriority w:val="0"/>
    <w:rPr>
      <w:rFonts w:ascii="Times New Roman" w:hAnsi="Times New Roman" w:eastAsia="宋体" w:cs="Times New Roman"/>
      <w:b/>
      <w:bCs/>
      <w:kern w:val="44"/>
      <w:sz w:val="32"/>
      <w:szCs w:val="44"/>
    </w:rPr>
  </w:style>
  <w:style w:type="character" w:customStyle="1" w:styleId="216">
    <w:name w:val="标题 3 Char1"/>
    <w:qFormat/>
    <w:uiPriority w:val="0"/>
    <w:rPr>
      <w:rFonts w:ascii="Calibri" w:hAnsi="Calibri" w:eastAsia="宋体" w:cs="Arial"/>
      <w:b/>
      <w:kern w:val="0"/>
      <w:sz w:val="32"/>
      <w:szCs w:val="20"/>
    </w:rPr>
  </w:style>
  <w:style w:type="character" w:customStyle="1" w:styleId="217">
    <w:name w:val="标题 Char2"/>
    <w:qFormat/>
    <w:uiPriority w:val="0"/>
    <w:rPr>
      <w:rFonts w:ascii="Cambria" w:hAnsi="Cambria" w:eastAsia="宋体" w:cs="Times New Roman"/>
      <w:b/>
      <w:bCs/>
      <w:sz w:val="32"/>
      <w:szCs w:val="32"/>
    </w:rPr>
  </w:style>
  <w:style w:type="character" w:customStyle="1" w:styleId="218">
    <w:name w:val="书籍标题1"/>
    <w:qFormat/>
    <w:uiPriority w:val="0"/>
    <w:rPr>
      <w:b/>
      <w:bCs/>
      <w:smallCaps/>
      <w:spacing w:val="5"/>
    </w:rPr>
  </w:style>
  <w:style w:type="character" w:customStyle="1" w:styleId="219">
    <w:name w:val="标题 Char3"/>
    <w:basedOn w:val="59"/>
    <w:qFormat/>
    <w:uiPriority w:val="10"/>
    <w:rPr>
      <w:rFonts w:ascii="Cambria" w:hAnsi="Cambria" w:cs="Times New Roman"/>
      <w:b/>
      <w:bCs/>
      <w:kern w:val="2"/>
      <w:sz w:val="32"/>
      <w:szCs w:val="32"/>
    </w:rPr>
  </w:style>
  <w:style w:type="character" w:customStyle="1" w:styleId="220">
    <w:name w:val="文档结构图 Char2"/>
    <w:basedOn w:val="59"/>
    <w:semiHidden/>
    <w:qFormat/>
    <w:uiPriority w:val="99"/>
    <w:rPr>
      <w:rFonts w:ascii="宋体"/>
      <w:kern w:val="2"/>
      <w:sz w:val="18"/>
      <w:szCs w:val="18"/>
    </w:rPr>
  </w:style>
  <w:style w:type="character" w:customStyle="1" w:styleId="221">
    <w:name w:val="脚注文本 Char1"/>
    <w:basedOn w:val="59"/>
    <w:qFormat/>
    <w:uiPriority w:val="99"/>
    <w:rPr>
      <w:kern w:val="2"/>
      <w:sz w:val="18"/>
      <w:szCs w:val="18"/>
    </w:rPr>
  </w:style>
  <w:style w:type="character" w:customStyle="1" w:styleId="222">
    <w:name w:val="副标题 字符"/>
    <w:basedOn w:val="59"/>
    <w:link w:val="39"/>
    <w:qFormat/>
    <w:uiPriority w:val="11"/>
    <w:rPr>
      <w:rFonts w:asciiTheme="majorHAnsi" w:hAnsiTheme="majorHAnsi" w:cstheme="majorBidi"/>
      <w:b/>
      <w:bCs/>
      <w:kern w:val="28"/>
      <w:sz w:val="32"/>
      <w:szCs w:val="32"/>
    </w:rPr>
  </w:style>
  <w:style w:type="character" w:customStyle="1" w:styleId="223">
    <w:name w:val="引用 字符"/>
    <w:basedOn w:val="59"/>
    <w:link w:val="195"/>
    <w:qFormat/>
    <w:uiPriority w:val="29"/>
    <w:rPr>
      <w:i/>
      <w:iCs/>
      <w:color w:val="000000" w:themeColor="text1"/>
      <w:kern w:val="2"/>
      <w:sz w:val="21"/>
      <w14:textFill>
        <w14:solidFill>
          <w14:schemeClr w14:val="tx1"/>
        </w14:solidFill>
      </w14:textFill>
    </w:rPr>
  </w:style>
  <w:style w:type="paragraph" w:customStyle="1" w:styleId="224">
    <w:name w:val="标题 1_0"/>
    <w:basedOn w:val="225"/>
    <w:next w:val="225"/>
    <w:qFormat/>
    <w:uiPriority w:val="0"/>
    <w:pPr>
      <w:keepNext/>
      <w:keepLines/>
      <w:spacing w:before="340" w:after="330" w:line="576" w:lineRule="auto"/>
      <w:outlineLvl w:val="0"/>
    </w:pPr>
    <w:rPr>
      <w:rFonts w:ascii="Times New Roman" w:hAnsi="Times New Roman"/>
      <w:b/>
      <w:bCs/>
      <w:kern w:val="44"/>
      <w:sz w:val="44"/>
      <w:szCs w:val="44"/>
    </w:rPr>
  </w:style>
  <w:style w:type="paragraph" w:customStyle="1" w:styleId="225">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6">
    <w:name w:val="正文缩进_0"/>
    <w:basedOn w:val="227"/>
    <w:qFormat/>
    <w:uiPriority w:val="0"/>
    <w:pPr>
      <w:widowControl w:val="0"/>
      <w:ind w:firstLine="420"/>
      <w:jc w:val="both"/>
    </w:pPr>
    <w:rPr>
      <w:kern w:val="2"/>
      <w:u w:val="single"/>
    </w:rPr>
  </w:style>
  <w:style w:type="paragraph" w:customStyle="1" w:styleId="227">
    <w:name w:val="正文_1"/>
    <w:qFormat/>
    <w:uiPriority w:val="0"/>
    <w:rPr>
      <w:rFonts w:ascii="Times New Roman" w:hAnsi="Times New Roman" w:eastAsia="宋体" w:cs="Times New Roman"/>
      <w:sz w:val="21"/>
      <w:szCs w:val="22"/>
      <w:lang w:val="en-US" w:eastAsia="zh-CN" w:bidi="ar-SA"/>
    </w:rPr>
  </w:style>
  <w:style w:type="paragraph" w:customStyle="1" w:styleId="228">
    <w:name w:val="正文文本_0"/>
    <w:basedOn w:val="225"/>
    <w:qFormat/>
    <w:uiPriority w:val="0"/>
    <w:pPr>
      <w:adjustRightInd w:val="0"/>
      <w:spacing w:after="60" w:line="360" w:lineRule="atLeast"/>
      <w:ind w:left="72" w:leftChars="30" w:right="30" w:rightChars="30"/>
      <w:jc w:val="center"/>
      <w:textAlignment w:val="baseline"/>
    </w:pPr>
    <w:rPr>
      <w:rFonts w:ascii="Times New Roman" w:hAnsi="Times New Roman"/>
      <w:kern w:val="0"/>
      <w:sz w:val="20"/>
      <w:szCs w:val="20"/>
    </w:rPr>
  </w:style>
  <w:style w:type="paragraph" w:customStyle="1" w:styleId="229">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30">
    <w:name w:val="样式 标题 2 + Times New Roman 四号 非加粗 段前: 5 磅 段后: 0 磅 行距: 固定值 20..."/>
    <w:basedOn w:val="3"/>
    <w:qFormat/>
    <w:uiPriority w:val="0"/>
    <w:pPr>
      <w:adjustRightInd/>
      <w:spacing w:before="100" w:after="0" w:line="400" w:lineRule="exact"/>
      <w:textAlignment w:val="auto"/>
    </w:pPr>
    <w:rPr>
      <w:rFonts w:ascii="Times New Roman" w:hAnsi="Times New Roman" w:cs="宋体"/>
      <w:b w:val="0"/>
      <w:sz w:val="28"/>
    </w:rPr>
  </w:style>
  <w:style w:type="character" w:customStyle="1" w:styleId="231">
    <w:name w:val="明显引用 字符"/>
    <w:basedOn w:val="59"/>
    <w:link w:val="201"/>
    <w:qFormat/>
    <w:uiPriority w:val="30"/>
    <w:rPr>
      <w:b/>
      <w:bCs/>
      <w:i/>
      <w:iCs/>
      <w:color w:val="4F81BD" w:themeColor="accent1"/>
      <w:kern w:val="2"/>
      <w:sz w:val="21"/>
      <w14:textFill>
        <w14:solidFill>
          <w14:schemeClr w14:val="accent1"/>
        </w14:solidFill>
      </w14:textFill>
    </w:rPr>
  </w:style>
  <w:style w:type="paragraph" w:customStyle="1" w:styleId="232">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3">
    <w:name w:val="Char Char Char Char Char Char Char"/>
    <w:basedOn w:val="1"/>
    <w:qFormat/>
    <w:uiPriority w:val="0"/>
    <w:pPr>
      <w:widowControl/>
      <w:spacing w:after="160" w:line="240" w:lineRule="exact"/>
      <w:jc w:val="left"/>
    </w:pPr>
    <w:rPr>
      <w:szCs w:val="24"/>
    </w:rPr>
  </w:style>
  <w:style w:type="paragraph" w:customStyle="1" w:styleId="234">
    <w:name w:val="Default"/>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paragraph" w:styleId="235">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6">
    <w:name w:val="纯文本1"/>
    <w:basedOn w:val="1"/>
    <w:qFormat/>
    <w:uiPriority w:val="0"/>
    <w:pPr>
      <w:adjustRightInd w:val="0"/>
      <w:textAlignment w:val="baseline"/>
    </w:pPr>
    <w:rPr>
      <w:rFonts w:ascii="宋体" w:hAnsi="Courier New" w:eastAsia="楷体_GB2312"/>
      <w:sz w:val="28"/>
    </w:rPr>
  </w:style>
  <w:style w:type="paragraph" w:customStyle="1" w:styleId="237">
    <w:name w:val="2-2ji"/>
    <w:basedOn w:val="3"/>
    <w:qFormat/>
    <w:uiPriority w:val="0"/>
    <w:pPr>
      <w:adjustRightInd/>
      <w:spacing w:before="0" w:after="0" w:line="360" w:lineRule="auto"/>
      <w:jc w:val="center"/>
      <w:textAlignment w:val="auto"/>
    </w:pPr>
    <w:rPr>
      <w:rFonts w:ascii="宋体" w:hAnsi="宋体" w:eastAsia="宋体"/>
      <w:bCs/>
      <w:kern w:val="2"/>
      <w:sz w:val="36"/>
      <w:szCs w:val="24"/>
    </w:rPr>
  </w:style>
  <w:style w:type="paragraph" w:customStyle="1" w:styleId="238">
    <w:name w:val="Char1"/>
    <w:basedOn w:val="1"/>
    <w:qFormat/>
    <w:uiPriority w:val="0"/>
    <w:pPr>
      <w:widowControl/>
      <w:spacing w:after="160" w:line="240" w:lineRule="exact"/>
      <w:jc w:val="left"/>
    </w:pPr>
    <w:rPr>
      <w:szCs w:val="24"/>
    </w:rPr>
  </w:style>
  <w:style w:type="paragraph" w:customStyle="1" w:styleId="239">
    <w:name w:val="flNote"/>
    <w:basedOn w:val="1"/>
    <w:qFormat/>
    <w:uiPriority w:val="0"/>
    <w:pPr>
      <w:adjustRightInd w:val="0"/>
      <w:spacing w:before="320" w:after="160" w:line="360" w:lineRule="atLeast"/>
      <w:jc w:val="center"/>
      <w:textAlignment w:val="baseline"/>
    </w:pPr>
    <w:rPr>
      <w:rFonts w:ascii="Arial" w:eastAsia="黑体"/>
      <w:kern w:val="0"/>
      <w:sz w:val="30"/>
    </w:rPr>
  </w:style>
  <w:style w:type="paragraph" w:customStyle="1" w:styleId="240">
    <w:name w:val="标题_0"/>
    <w:basedOn w:val="227"/>
    <w:qFormat/>
    <w:uiPriority w:val="0"/>
    <w:pPr>
      <w:spacing w:before="120" w:after="120" w:line="360" w:lineRule="auto"/>
      <w:jc w:val="center"/>
      <w:outlineLvl w:val="0"/>
    </w:pPr>
    <w:rPr>
      <w:rFonts w:ascii="黑体" w:hAnsi="Arial" w:eastAsia="黑体"/>
      <w:b/>
      <w:bCs/>
      <w:kern w:val="2"/>
      <w:sz w:val="32"/>
      <w:szCs w:val="32"/>
    </w:rPr>
  </w:style>
  <w:style w:type="paragraph" w:customStyle="1" w:styleId="241">
    <w:name w:val="_Style 37"/>
    <w:basedOn w:val="1"/>
    <w:next w:val="1"/>
    <w:qFormat/>
    <w:uiPriority w:val="0"/>
    <w:rPr>
      <w:szCs w:val="24"/>
    </w:rPr>
  </w:style>
  <w:style w:type="paragraph" w:customStyle="1" w:styleId="242">
    <w:name w:val="TOC 标题_0"/>
    <w:basedOn w:val="224"/>
    <w:next w:val="225"/>
    <w:qFormat/>
    <w:uiPriority w:val="0"/>
    <w:pPr>
      <w:outlineLvl w:val="9"/>
    </w:pPr>
    <w:rPr>
      <w:rFonts w:ascii="Calibri" w:hAnsi="Calibri"/>
    </w:rPr>
  </w:style>
  <w:style w:type="paragraph" w:customStyle="1" w:styleId="243">
    <w:name w:val="空半行"/>
    <w:basedOn w:val="1"/>
    <w:qFormat/>
    <w:uiPriority w:val="0"/>
    <w:pPr>
      <w:adjustRightInd w:val="0"/>
      <w:spacing w:line="120" w:lineRule="exact"/>
      <w:textAlignment w:val="baseline"/>
    </w:pPr>
    <w:rPr>
      <w:rFonts w:eastAsia="仿宋_GB2312"/>
      <w:color w:val="FFFFFF"/>
      <w:kern w:val="0"/>
      <w:sz w:val="30"/>
    </w:rPr>
  </w:style>
  <w:style w:type="paragraph" w:customStyle="1" w:styleId="244">
    <w:name w:val="标题 4_0"/>
    <w:basedOn w:val="225"/>
    <w:next w:val="225"/>
    <w:qFormat/>
    <w:uiPriority w:val="0"/>
    <w:pPr>
      <w:keepNext/>
      <w:keepLines/>
      <w:spacing w:before="280" w:after="290" w:line="372" w:lineRule="auto"/>
      <w:outlineLvl w:val="3"/>
    </w:pPr>
    <w:rPr>
      <w:rFonts w:ascii="Cambria" w:hAnsi="Cambria"/>
      <w:b/>
      <w:bCs/>
      <w:sz w:val="28"/>
      <w:szCs w:val="28"/>
    </w:rPr>
  </w:style>
  <w:style w:type="paragraph" w:customStyle="1" w:styleId="245">
    <w:name w:val="样式1"/>
    <w:basedOn w:val="1"/>
    <w:next w:val="5"/>
    <w:qFormat/>
    <w:uiPriority w:val="0"/>
    <w:pPr>
      <w:spacing w:line="360" w:lineRule="auto"/>
      <w:ind w:firstLine="420" w:firstLineChars="200"/>
    </w:pPr>
    <w:rPr>
      <w:rFonts w:ascii="宋体" w:hAnsi="宋体"/>
      <w:szCs w:val="21"/>
    </w:rPr>
  </w:style>
  <w:style w:type="paragraph" w:customStyle="1" w:styleId="246">
    <w:name w:val="样式 标题 3 + (中文) 黑体 小四 非加粗 段前: 7.8 磅 段后: 0 磅 行距: 固定值 20 磅"/>
    <w:basedOn w:val="4"/>
    <w:qFormat/>
    <w:uiPriority w:val="0"/>
    <w:pPr>
      <w:adjustRightInd/>
      <w:spacing w:before="0" w:after="0" w:line="400" w:lineRule="exact"/>
      <w:textAlignment w:val="auto"/>
    </w:pPr>
    <w:rPr>
      <w:rFonts w:eastAsia="黑体" w:cs="宋体"/>
      <w:b w:val="0"/>
      <w:kern w:val="2"/>
      <w:sz w:val="21"/>
    </w:rPr>
  </w:style>
  <w:style w:type="paragraph" w:customStyle="1" w:styleId="247">
    <w:name w:val="修订2"/>
    <w:qFormat/>
    <w:uiPriority w:val="0"/>
    <w:rPr>
      <w:rFonts w:ascii="Times New Roman" w:hAnsi="Times New Roman" w:eastAsia="宋体" w:cs="Times New Roman"/>
      <w:kern w:val="2"/>
      <w:sz w:val="21"/>
      <w:szCs w:val="24"/>
      <w:lang w:val="en-US" w:eastAsia="zh-CN" w:bidi="ar-SA"/>
    </w:rPr>
  </w:style>
  <w:style w:type="paragraph" w:customStyle="1" w:styleId="248">
    <w:name w:val="标题 3_0"/>
    <w:basedOn w:val="225"/>
    <w:next w:val="225"/>
    <w:qFormat/>
    <w:uiPriority w:val="0"/>
    <w:pPr>
      <w:keepNext/>
      <w:keepLines/>
      <w:spacing w:before="260" w:after="260" w:line="413" w:lineRule="auto"/>
      <w:outlineLvl w:val="2"/>
    </w:pPr>
    <w:rPr>
      <w:rFonts w:ascii="Times New Roman" w:hAnsi="Times New Roman"/>
      <w:b/>
      <w:bCs/>
      <w:sz w:val="32"/>
      <w:szCs w:val="32"/>
    </w:rPr>
  </w:style>
  <w:style w:type="paragraph" w:customStyle="1" w:styleId="249">
    <w:name w:val="Address"/>
    <w:basedOn w:val="1"/>
    <w:next w:val="1"/>
    <w:qFormat/>
    <w:uiPriority w:val="0"/>
    <w:pPr>
      <w:autoSpaceDE w:val="0"/>
      <w:autoSpaceDN w:val="0"/>
      <w:adjustRightInd w:val="0"/>
      <w:jc w:val="left"/>
    </w:pPr>
    <w:rPr>
      <w:rFonts w:ascii="@时尚中黑简体"/>
      <w:i/>
      <w:kern w:val="0"/>
      <w:sz w:val="24"/>
    </w:rPr>
  </w:style>
  <w:style w:type="table" w:customStyle="1" w:styleId="250">
    <w:name w:val="网格型11"/>
    <w:basedOn w:val="5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51">
    <w:name w:val="Char Char4"/>
    <w:qFormat/>
    <w:uiPriority w:val="0"/>
    <w:rPr>
      <w:b/>
      <w:sz w:val="20"/>
    </w:rPr>
  </w:style>
  <w:style w:type="character" w:customStyle="1" w:styleId="252">
    <w:name w:val="H1 Char"/>
    <w:qFormat/>
    <w:uiPriority w:val="0"/>
    <w:rPr>
      <w:b/>
      <w:sz w:val="20"/>
    </w:rPr>
  </w:style>
  <w:style w:type="character" w:customStyle="1" w:styleId="253">
    <w:name w:val="样式15 Char"/>
    <w:qFormat/>
    <w:uiPriority w:val="0"/>
    <w:rPr>
      <w:sz w:val="20"/>
    </w:rPr>
  </w:style>
  <w:style w:type="character" w:customStyle="1" w:styleId="254">
    <w:name w:val="HTML 预设格式 Char1"/>
    <w:qFormat/>
    <w:uiPriority w:val="0"/>
    <w:rPr>
      <w:rFonts w:ascii="Courier New" w:hAnsi="Courier New"/>
      <w:kern w:val="2"/>
    </w:rPr>
  </w:style>
  <w:style w:type="character" w:customStyle="1" w:styleId="255">
    <w:name w:val="Char Char2"/>
    <w:qFormat/>
    <w:uiPriority w:val="0"/>
    <w:rPr>
      <w:sz w:val="20"/>
    </w:rPr>
  </w:style>
  <w:style w:type="character" w:customStyle="1" w:styleId="256">
    <w:name w:val="Char Char8"/>
    <w:qFormat/>
    <w:uiPriority w:val="0"/>
    <w:rPr>
      <w:sz w:val="20"/>
    </w:rPr>
  </w:style>
  <w:style w:type="character" w:customStyle="1" w:styleId="257">
    <w:name w:val="bigfont"/>
    <w:qFormat/>
    <w:uiPriority w:val="0"/>
    <w:rPr>
      <w:sz w:val="20"/>
    </w:rPr>
  </w:style>
  <w:style w:type="character" w:customStyle="1" w:styleId="258">
    <w:name w:val="称呼 Char"/>
    <w:qFormat/>
    <w:uiPriority w:val="0"/>
    <w:rPr>
      <w:rFonts w:hAnsi="宋体" w:cs="宋体"/>
      <w:sz w:val="30"/>
    </w:rPr>
  </w:style>
  <w:style w:type="character" w:customStyle="1" w:styleId="259">
    <w:name w:val="Char Char1"/>
    <w:qFormat/>
    <w:uiPriority w:val="0"/>
    <w:rPr>
      <w:sz w:val="20"/>
    </w:rPr>
  </w:style>
  <w:style w:type="character" w:customStyle="1" w:styleId="260">
    <w:name w:val="Char Char5"/>
    <w:qFormat/>
    <w:uiPriority w:val="0"/>
    <w:rPr>
      <w:sz w:val="20"/>
    </w:rPr>
  </w:style>
  <w:style w:type="character" w:customStyle="1" w:styleId="261">
    <w:name w:val="tt21"/>
    <w:qFormat/>
    <w:uiPriority w:val="0"/>
    <w:rPr>
      <w:b/>
      <w:sz w:val="20"/>
    </w:rPr>
  </w:style>
  <w:style w:type="character" w:customStyle="1" w:styleId="262">
    <w:name w:val="样式13 Char"/>
    <w:qFormat/>
    <w:uiPriority w:val="0"/>
    <w:rPr>
      <w:sz w:val="20"/>
    </w:rPr>
  </w:style>
  <w:style w:type="character" w:customStyle="1" w:styleId="263">
    <w:name w:val="Char Char10"/>
    <w:qFormat/>
    <w:uiPriority w:val="0"/>
    <w:rPr>
      <w:sz w:val="20"/>
    </w:rPr>
  </w:style>
  <w:style w:type="character" w:customStyle="1" w:styleId="264">
    <w:name w:val="title2"/>
    <w:qFormat/>
    <w:uiPriority w:val="0"/>
    <w:rPr>
      <w:b/>
      <w:color w:val="111111"/>
      <w:sz w:val="20"/>
      <w:u w:val="none"/>
    </w:rPr>
  </w:style>
  <w:style w:type="character" w:customStyle="1" w:styleId="265">
    <w:name w:val="H2 Char"/>
    <w:qFormat/>
    <w:uiPriority w:val="0"/>
    <w:rPr>
      <w:b/>
      <w:sz w:val="20"/>
    </w:rPr>
  </w:style>
  <w:style w:type="character" w:customStyle="1" w:styleId="266">
    <w:name w:val="level1"/>
    <w:qFormat/>
    <w:uiPriority w:val="0"/>
    <w:rPr>
      <w:sz w:val="20"/>
    </w:rPr>
  </w:style>
  <w:style w:type="character" w:customStyle="1" w:styleId="267">
    <w:name w:val="正文文本 3 Char"/>
    <w:qFormat/>
    <w:uiPriority w:val="0"/>
    <w:rPr>
      <w:rFonts w:hAnsi="宋体" w:cs="宋体"/>
      <w:color w:val="000000"/>
      <w:sz w:val="24"/>
    </w:rPr>
  </w:style>
  <w:style w:type="character" w:customStyle="1" w:styleId="268">
    <w:name w:val="仿宋，小四"/>
    <w:qFormat/>
    <w:uiPriority w:val="0"/>
    <w:rPr>
      <w:sz w:val="20"/>
    </w:rPr>
  </w:style>
  <w:style w:type="character" w:customStyle="1" w:styleId="269">
    <w:name w:val="样式11 Char"/>
    <w:qFormat/>
    <w:uiPriority w:val="0"/>
    <w:rPr>
      <w:sz w:val="20"/>
    </w:rPr>
  </w:style>
  <w:style w:type="character" w:customStyle="1" w:styleId="270">
    <w:name w:val="样式 标题 3h3section:3Level 3 HeadH3level_3PIM 33rd level3H... Char Char"/>
    <w:qFormat/>
    <w:uiPriority w:val="0"/>
    <w:rPr>
      <w:b/>
      <w:sz w:val="20"/>
    </w:rPr>
  </w:style>
  <w:style w:type="character" w:customStyle="1" w:styleId="271">
    <w:name w:val="Char Char Char Char Char Char"/>
    <w:qFormat/>
    <w:uiPriority w:val="0"/>
    <w:rPr>
      <w:sz w:val="20"/>
    </w:rPr>
  </w:style>
  <w:style w:type="character" w:customStyle="1" w:styleId="272">
    <w:name w:val="样式3 Char Char"/>
    <w:qFormat/>
    <w:uiPriority w:val="0"/>
    <w:rPr>
      <w:b/>
      <w:sz w:val="20"/>
    </w:rPr>
  </w:style>
  <w:style w:type="character" w:customStyle="1" w:styleId="273">
    <w:name w:val="样式3 Char Char Char Char"/>
    <w:qFormat/>
    <w:uiPriority w:val="0"/>
    <w:rPr>
      <w:b/>
      <w:sz w:val="20"/>
    </w:rPr>
  </w:style>
  <w:style w:type="character" w:customStyle="1" w:styleId="274">
    <w:name w:val="正文首行缩进 Char1"/>
    <w:qFormat/>
    <w:uiPriority w:val="0"/>
    <w:rPr>
      <w:rFonts w:hAnsi="宋体" w:cs="宋体"/>
      <w:sz w:val="21"/>
      <w:lang w:val="en-US" w:eastAsia="zh-CN" w:bidi="ar-SA"/>
    </w:rPr>
  </w:style>
  <w:style w:type="character" w:customStyle="1" w:styleId="275">
    <w:name w:val="样式9 Char"/>
    <w:qFormat/>
    <w:uiPriority w:val="0"/>
    <w:rPr>
      <w:sz w:val="20"/>
    </w:rPr>
  </w:style>
  <w:style w:type="character" w:customStyle="1" w:styleId="276">
    <w:name w:val="样式 标题 3h3section:3Level 3 HeadH3level_3PIM 33rd level3H... Char"/>
    <w:qFormat/>
    <w:uiPriority w:val="0"/>
    <w:rPr>
      <w:b/>
      <w:sz w:val="20"/>
    </w:rPr>
  </w:style>
  <w:style w:type="character" w:customStyle="1" w:styleId="277">
    <w:name w:val="样式10 Char"/>
    <w:qFormat/>
    <w:uiPriority w:val="0"/>
    <w:rPr>
      <w:sz w:val="20"/>
    </w:rPr>
  </w:style>
  <w:style w:type="character" w:customStyle="1" w:styleId="278">
    <w:name w:val="Char Char3"/>
    <w:qFormat/>
    <w:uiPriority w:val="0"/>
    <w:rPr>
      <w:sz w:val="20"/>
    </w:rPr>
  </w:style>
  <w:style w:type="character" w:customStyle="1" w:styleId="279">
    <w:name w:val="Char Char7"/>
    <w:qFormat/>
    <w:uiPriority w:val="0"/>
    <w:rPr>
      <w:sz w:val="20"/>
    </w:rPr>
  </w:style>
  <w:style w:type="character" w:customStyle="1" w:styleId="280">
    <w:name w:val="样式12 Char"/>
    <w:qFormat/>
    <w:uiPriority w:val="0"/>
    <w:rPr>
      <w:sz w:val="20"/>
    </w:rPr>
  </w:style>
  <w:style w:type="character" w:customStyle="1" w:styleId="281">
    <w:name w:val="普通文字 Char2"/>
    <w:semiHidden/>
    <w:qFormat/>
    <w:uiPriority w:val="0"/>
    <w:rPr>
      <w:sz w:val="20"/>
    </w:rPr>
  </w:style>
  <w:style w:type="character" w:customStyle="1" w:styleId="282">
    <w:name w:val="newsbg1"/>
    <w:qFormat/>
    <w:uiPriority w:val="0"/>
    <w:rPr>
      <w:sz w:val="20"/>
    </w:rPr>
  </w:style>
  <w:style w:type="character" w:customStyle="1" w:styleId="283">
    <w:name w:val="Char Char14"/>
    <w:qFormat/>
    <w:uiPriority w:val="0"/>
    <w:rPr>
      <w:sz w:val="20"/>
    </w:rPr>
  </w:style>
  <w:style w:type="character" w:customStyle="1" w:styleId="284">
    <w:name w:val="正文文本 Char2"/>
    <w:qFormat/>
    <w:uiPriority w:val="0"/>
    <w:rPr>
      <w:sz w:val="20"/>
    </w:rPr>
  </w:style>
  <w:style w:type="character" w:customStyle="1" w:styleId="285">
    <w:name w:val="样式14 Char"/>
    <w:qFormat/>
    <w:uiPriority w:val="0"/>
    <w:rPr>
      <w:sz w:val="20"/>
    </w:rPr>
  </w:style>
  <w:style w:type="character" w:customStyle="1" w:styleId="286">
    <w:name w:val="Char Char13"/>
    <w:qFormat/>
    <w:uiPriority w:val="0"/>
    <w:rPr>
      <w:b/>
      <w:sz w:val="20"/>
    </w:rPr>
  </w:style>
  <w:style w:type="character" w:customStyle="1" w:styleId="287">
    <w:name w:val="style41"/>
    <w:qFormat/>
    <w:uiPriority w:val="0"/>
    <w:rPr>
      <w:color w:val="AA1515"/>
      <w:sz w:val="20"/>
    </w:rPr>
  </w:style>
  <w:style w:type="character" w:customStyle="1" w:styleId="288">
    <w:name w:val="正文（首行缩进两字） Char Char Char Char Char Char Char Char Char Char Char Char Char Char Char Char Char Char Char Char Char Char Char Char Char Char Char Char Char Char Char Char Char Char Char Char Char Char Char Char Char Char Char Char Char Char"/>
    <w:qFormat/>
    <w:uiPriority w:val="0"/>
    <w:rPr>
      <w:sz w:val="20"/>
    </w:rPr>
  </w:style>
  <w:style w:type="character" w:customStyle="1" w:styleId="289">
    <w:name w:val="apple-converted-space"/>
    <w:qFormat/>
    <w:uiPriority w:val="0"/>
    <w:rPr>
      <w:sz w:val="20"/>
    </w:rPr>
  </w:style>
  <w:style w:type="character" w:customStyle="1" w:styleId="290">
    <w:name w:val="普通文字 Char"/>
    <w:qFormat/>
    <w:uiPriority w:val="0"/>
    <w:rPr>
      <w:sz w:val="20"/>
    </w:rPr>
  </w:style>
  <w:style w:type="character" w:customStyle="1" w:styleId="291">
    <w:name w:val="正文文本缩进 3 Char1"/>
    <w:basedOn w:val="59"/>
    <w:qFormat/>
    <w:uiPriority w:val="0"/>
    <w:rPr>
      <w:kern w:val="2"/>
      <w:sz w:val="16"/>
      <w:szCs w:val="16"/>
    </w:rPr>
  </w:style>
  <w:style w:type="character" w:customStyle="1" w:styleId="292">
    <w:name w:val="HTML 预设格式 Char2"/>
    <w:basedOn w:val="59"/>
    <w:qFormat/>
    <w:uiPriority w:val="0"/>
    <w:rPr>
      <w:rFonts w:ascii="Courier New" w:hAnsi="Courier New" w:cs="Courier New"/>
      <w:kern w:val="2"/>
    </w:rPr>
  </w:style>
  <w:style w:type="character" w:customStyle="1" w:styleId="293">
    <w:name w:val="正文文本 3 字符"/>
    <w:basedOn w:val="59"/>
    <w:link w:val="19"/>
    <w:qFormat/>
    <w:uiPriority w:val="0"/>
    <w:rPr>
      <w:kern w:val="2"/>
      <w:sz w:val="16"/>
      <w:szCs w:val="16"/>
    </w:rPr>
  </w:style>
  <w:style w:type="character" w:customStyle="1" w:styleId="294">
    <w:name w:val="正文文本 2 Char1"/>
    <w:basedOn w:val="59"/>
    <w:qFormat/>
    <w:uiPriority w:val="0"/>
    <w:rPr>
      <w:kern w:val="2"/>
      <w:sz w:val="21"/>
      <w:szCs w:val="24"/>
    </w:rPr>
  </w:style>
  <w:style w:type="character" w:customStyle="1" w:styleId="295">
    <w:name w:val="称呼 字符"/>
    <w:basedOn w:val="59"/>
    <w:link w:val="18"/>
    <w:qFormat/>
    <w:uiPriority w:val="0"/>
    <w:rPr>
      <w:kern w:val="2"/>
      <w:sz w:val="21"/>
    </w:rPr>
  </w:style>
  <w:style w:type="character" w:customStyle="1" w:styleId="296">
    <w:name w:val="正文首行缩进 Char2"/>
    <w:basedOn w:val="84"/>
    <w:qFormat/>
    <w:uiPriority w:val="0"/>
    <w:rPr>
      <w:rFonts w:cs="Times New Roman"/>
      <w:kern w:val="2"/>
      <w:sz w:val="21"/>
      <w:szCs w:val="24"/>
    </w:rPr>
  </w:style>
  <w:style w:type="paragraph" w:customStyle="1" w:styleId="297">
    <w:name w:val="标准正文"/>
    <w:basedOn w:val="1"/>
    <w:next w:val="298"/>
    <w:qFormat/>
    <w:uiPriority w:val="0"/>
    <w:pPr>
      <w:spacing w:line="312" w:lineRule="auto"/>
      <w:ind w:firstLine="482"/>
    </w:pPr>
    <w:rPr>
      <w:rFonts w:hAnsi="宋体" w:cs="宋体"/>
      <w:kern w:val="0"/>
      <w:sz w:val="24"/>
    </w:rPr>
  </w:style>
  <w:style w:type="paragraph" w:customStyle="1" w:styleId="298">
    <w:name w:val="font5"/>
    <w:basedOn w:val="1"/>
    <w:qFormat/>
    <w:uiPriority w:val="0"/>
    <w:pPr>
      <w:widowControl/>
      <w:spacing w:before="280" w:after="280"/>
    </w:pPr>
    <w:rPr>
      <w:rFonts w:ascii="宋体" w:hAnsi="宋体" w:cs="宋体"/>
      <w:kern w:val="0"/>
      <w:sz w:val="18"/>
    </w:rPr>
  </w:style>
  <w:style w:type="paragraph" w:customStyle="1" w:styleId="299">
    <w:name w:val="样式11"/>
    <w:next w:val="300"/>
    <w:qFormat/>
    <w:uiPriority w:val="0"/>
    <w:pPr>
      <w:widowControl w:val="0"/>
      <w:jc w:val="center"/>
    </w:pPr>
    <w:rPr>
      <w:rFonts w:ascii="Times New Roman" w:hAnsi="宋体" w:eastAsia="宋体" w:cs="宋体"/>
      <w:sz w:val="18"/>
      <w:lang w:val="en-US" w:eastAsia="zh-CN" w:bidi="ar-SA"/>
    </w:rPr>
  </w:style>
  <w:style w:type="paragraph" w:customStyle="1" w:styleId="300">
    <w:name w:val="样式8"/>
    <w:basedOn w:val="1"/>
    <w:next w:val="301"/>
    <w:qFormat/>
    <w:uiPriority w:val="0"/>
    <w:pPr>
      <w:spacing w:before="260" w:after="260"/>
      <w:jc w:val="center"/>
      <w:outlineLvl w:val="1"/>
    </w:pPr>
    <w:rPr>
      <w:rFonts w:ascii="Arial" w:hAnsi="宋体" w:eastAsia="黑体" w:cs="宋体"/>
      <w:b/>
      <w:kern w:val="0"/>
      <w:sz w:val="72"/>
    </w:rPr>
  </w:style>
  <w:style w:type="paragraph" w:customStyle="1" w:styleId="301">
    <w:name w:val="xl145"/>
    <w:basedOn w:val="1"/>
    <w:next w:val="302"/>
    <w:qFormat/>
    <w:uiPriority w:val="0"/>
    <w:pPr>
      <w:widowControl/>
      <w:spacing w:before="280" w:after="280"/>
      <w:jc w:val="center"/>
    </w:pPr>
    <w:rPr>
      <w:rFonts w:ascii="宋体" w:hAnsi="宋体" w:cs="宋体"/>
      <w:color w:val="000000"/>
      <w:kern w:val="0"/>
      <w:sz w:val="20"/>
    </w:rPr>
  </w:style>
  <w:style w:type="paragraph" w:customStyle="1" w:styleId="302">
    <w:name w:val="Char Char Char Char Char Char Char Char Char Char Char Char Char Char Char Char Char Char Char"/>
    <w:basedOn w:val="1"/>
    <w:next w:val="1"/>
    <w:qFormat/>
    <w:uiPriority w:val="0"/>
    <w:pPr>
      <w:widowControl/>
      <w:spacing w:line="400" w:lineRule="exact"/>
      <w:jc w:val="center"/>
    </w:pPr>
    <w:rPr>
      <w:rFonts w:ascii="Verdana" w:hAnsi="宋体" w:cs="宋体"/>
      <w:kern w:val="0"/>
    </w:rPr>
  </w:style>
  <w:style w:type="paragraph" w:customStyle="1" w:styleId="303">
    <w:name w:val="Char Char Char Char Char Char Char1"/>
    <w:basedOn w:val="1"/>
    <w:next w:val="304"/>
    <w:qFormat/>
    <w:uiPriority w:val="0"/>
    <w:pPr>
      <w:widowControl/>
      <w:spacing w:line="400" w:lineRule="exact"/>
      <w:jc w:val="center"/>
    </w:pPr>
    <w:rPr>
      <w:rFonts w:ascii="Verdana" w:hAnsi="宋体" w:cs="宋体"/>
      <w:kern w:val="0"/>
    </w:rPr>
  </w:style>
  <w:style w:type="paragraph" w:customStyle="1" w:styleId="304">
    <w:name w:val="Char Char2 Char Char Char Char"/>
    <w:basedOn w:val="1"/>
    <w:next w:val="305"/>
    <w:qFormat/>
    <w:uiPriority w:val="0"/>
    <w:rPr>
      <w:rFonts w:ascii="Tahoma" w:hAnsi="宋体" w:cs="宋体"/>
      <w:kern w:val="0"/>
      <w:sz w:val="24"/>
    </w:rPr>
  </w:style>
  <w:style w:type="paragraph" w:customStyle="1" w:styleId="305">
    <w:name w:val="样式 (中文) 黑体 小二 行距: 1.5 倍行距"/>
    <w:basedOn w:val="1"/>
    <w:next w:val="306"/>
    <w:qFormat/>
    <w:uiPriority w:val="0"/>
    <w:pPr>
      <w:spacing w:line="360" w:lineRule="auto"/>
    </w:pPr>
    <w:rPr>
      <w:rFonts w:hAnsi="宋体" w:eastAsia="黑体" w:cs="宋体"/>
      <w:kern w:val="0"/>
      <w:sz w:val="36"/>
    </w:rPr>
  </w:style>
  <w:style w:type="paragraph" w:customStyle="1" w:styleId="306">
    <w:name w:val="目录 21"/>
    <w:basedOn w:val="1"/>
    <w:next w:val="1"/>
    <w:qFormat/>
    <w:uiPriority w:val="0"/>
    <w:pPr>
      <w:ind w:left="420"/>
    </w:pPr>
    <w:rPr>
      <w:rFonts w:hAnsi="宋体" w:cs="宋体"/>
      <w:kern w:val="0"/>
    </w:rPr>
  </w:style>
  <w:style w:type="paragraph" w:customStyle="1" w:styleId="307">
    <w:name w:val="目录 61"/>
    <w:basedOn w:val="1"/>
    <w:next w:val="1"/>
    <w:qFormat/>
    <w:uiPriority w:val="0"/>
    <w:pPr>
      <w:ind w:left="2100"/>
    </w:pPr>
    <w:rPr>
      <w:rFonts w:ascii="Calibri" w:hAnsi="宋体" w:cs="宋体"/>
      <w:kern w:val="0"/>
    </w:rPr>
  </w:style>
  <w:style w:type="paragraph" w:customStyle="1" w:styleId="308">
    <w:name w:val="标书正文格式"/>
    <w:next w:val="309"/>
    <w:qFormat/>
    <w:uiPriority w:val="0"/>
    <w:pPr>
      <w:spacing w:line="360" w:lineRule="auto"/>
      <w:ind w:firstLine="200"/>
    </w:pPr>
    <w:rPr>
      <w:rFonts w:ascii="宋体" w:hAnsi="宋体" w:eastAsia="楷体_GB2312" w:cs="宋体"/>
      <w:sz w:val="24"/>
      <w:lang w:val="en-US" w:eastAsia="zh-CN" w:bidi="ar-SA"/>
    </w:rPr>
  </w:style>
  <w:style w:type="paragraph" w:customStyle="1" w:styleId="309">
    <w:name w:val="xl160"/>
    <w:basedOn w:val="1"/>
    <w:next w:val="142"/>
    <w:qFormat/>
    <w:uiPriority w:val="0"/>
    <w:pPr>
      <w:widowControl/>
      <w:shd w:val="clear" w:color="000000" w:fill="C0C0C0"/>
      <w:spacing w:before="280" w:after="280"/>
    </w:pPr>
    <w:rPr>
      <w:rFonts w:ascii="宋体" w:hAnsi="宋体" w:cs="宋体"/>
      <w:kern w:val="0"/>
      <w:sz w:val="20"/>
    </w:rPr>
  </w:style>
  <w:style w:type="paragraph" w:customStyle="1" w:styleId="310">
    <w:name w:val="TOC Heading1"/>
    <w:next w:val="1"/>
    <w:qFormat/>
    <w:uiPriority w:val="0"/>
    <w:pPr>
      <w:wordWrap w:val="0"/>
    </w:pPr>
    <w:rPr>
      <w:rFonts w:ascii="宋体" w:hAnsi="宋体" w:eastAsia="宋体" w:cs="宋体"/>
      <w:sz w:val="32"/>
      <w:lang w:val="en-US" w:eastAsia="zh-CN" w:bidi="ar-SA"/>
    </w:rPr>
  </w:style>
  <w:style w:type="paragraph" w:customStyle="1" w:styleId="311">
    <w:name w:val="目录 91"/>
    <w:basedOn w:val="1"/>
    <w:next w:val="1"/>
    <w:qFormat/>
    <w:uiPriority w:val="0"/>
    <w:pPr>
      <w:ind w:left="3360"/>
    </w:pPr>
    <w:rPr>
      <w:rFonts w:ascii="Calibri" w:hAnsi="宋体" w:cs="宋体"/>
      <w:kern w:val="0"/>
    </w:rPr>
  </w:style>
  <w:style w:type="paragraph" w:customStyle="1" w:styleId="312">
    <w:name w:val="Heading 41"/>
    <w:basedOn w:val="1"/>
    <w:next w:val="139"/>
    <w:qFormat/>
    <w:uiPriority w:val="0"/>
    <w:pPr>
      <w:outlineLvl w:val="4"/>
    </w:pPr>
    <w:rPr>
      <w:rFonts w:ascii="宋体" w:hAnsi="宋体" w:cs="宋体"/>
      <w:kern w:val="0"/>
      <w:sz w:val="32"/>
    </w:rPr>
  </w:style>
  <w:style w:type="paragraph" w:customStyle="1" w:styleId="313">
    <w:name w:val="重点说明"/>
    <w:basedOn w:val="1"/>
    <w:next w:val="314"/>
    <w:qFormat/>
    <w:uiPriority w:val="0"/>
    <w:pPr>
      <w:widowControl/>
      <w:spacing w:before="40" w:after="40" w:line="400" w:lineRule="exact"/>
      <w:ind w:left="360" w:hanging="360"/>
    </w:pPr>
    <w:rPr>
      <w:rFonts w:ascii="宋体" w:hAnsi="宋体" w:cs="宋体"/>
      <w:b/>
      <w:kern w:val="0"/>
      <w:sz w:val="28"/>
    </w:rPr>
  </w:style>
  <w:style w:type="paragraph" w:customStyle="1" w:styleId="314">
    <w:name w:val="副标题1"/>
    <w:basedOn w:val="1"/>
    <w:next w:val="1"/>
    <w:qFormat/>
    <w:uiPriority w:val="0"/>
    <w:pPr>
      <w:spacing w:before="120" w:after="120"/>
    </w:pPr>
    <w:rPr>
      <w:rFonts w:ascii="Arial" w:hAnsi="宋体" w:cs="宋体"/>
      <w:b/>
      <w:color w:val="000000"/>
      <w:kern w:val="0"/>
      <w:sz w:val="20"/>
    </w:rPr>
  </w:style>
  <w:style w:type="paragraph" w:customStyle="1" w:styleId="315">
    <w:name w:val="xl135"/>
    <w:basedOn w:val="1"/>
    <w:next w:val="316"/>
    <w:qFormat/>
    <w:uiPriority w:val="0"/>
    <w:pPr>
      <w:widowControl/>
      <w:spacing w:before="280" w:after="280"/>
    </w:pPr>
    <w:rPr>
      <w:rFonts w:ascii="宋体" w:hAnsi="宋体" w:cs="宋体"/>
      <w:kern w:val="0"/>
      <w:sz w:val="18"/>
    </w:rPr>
  </w:style>
  <w:style w:type="paragraph" w:customStyle="1" w:styleId="316">
    <w:name w:val="xl139"/>
    <w:basedOn w:val="1"/>
    <w:next w:val="317"/>
    <w:qFormat/>
    <w:uiPriority w:val="0"/>
    <w:pPr>
      <w:widowControl/>
      <w:spacing w:before="280" w:after="280"/>
    </w:pPr>
    <w:rPr>
      <w:rFonts w:ascii="宋体" w:hAnsi="宋体" w:cs="宋体"/>
      <w:kern w:val="0"/>
      <w:sz w:val="20"/>
    </w:rPr>
  </w:style>
  <w:style w:type="paragraph" w:customStyle="1" w:styleId="317">
    <w:name w:val="xl134"/>
    <w:basedOn w:val="1"/>
    <w:next w:val="318"/>
    <w:qFormat/>
    <w:uiPriority w:val="0"/>
    <w:pPr>
      <w:widowControl/>
      <w:spacing w:before="280" w:after="280"/>
      <w:jc w:val="center"/>
    </w:pPr>
    <w:rPr>
      <w:rFonts w:ascii="宋体" w:hAnsi="宋体" w:cs="宋体"/>
      <w:kern w:val="0"/>
      <w:sz w:val="20"/>
    </w:rPr>
  </w:style>
  <w:style w:type="paragraph" w:customStyle="1" w:styleId="318">
    <w:name w:val="xl164"/>
    <w:basedOn w:val="1"/>
    <w:next w:val="319"/>
    <w:qFormat/>
    <w:uiPriority w:val="0"/>
    <w:pPr>
      <w:widowControl/>
      <w:spacing w:before="280" w:after="280"/>
      <w:jc w:val="center"/>
    </w:pPr>
    <w:rPr>
      <w:rFonts w:ascii="宋体" w:hAnsi="宋体" w:cs="宋体"/>
      <w:color w:val="000000"/>
      <w:kern w:val="0"/>
      <w:sz w:val="20"/>
    </w:rPr>
  </w:style>
  <w:style w:type="paragraph" w:customStyle="1" w:styleId="319">
    <w:name w:val="_Style 16"/>
    <w:basedOn w:val="1"/>
    <w:next w:val="320"/>
    <w:qFormat/>
    <w:uiPriority w:val="0"/>
    <w:pPr>
      <w:widowControl/>
      <w:spacing w:line="400" w:lineRule="exact"/>
      <w:jc w:val="center"/>
    </w:pPr>
    <w:rPr>
      <w:rFonts w:hAnsi="宋体" w:cs="宋体"/>
      <w:kern w:val="0"/>
    </w:rPr>
  </w:style>
  <w:style w:type="paragraph" w:customStyle="1" w:styleId="320">
    <w:name w:val="xl142"/>
    <w:basedOn w:val="1"/>
    <w:next w:val="1"/>
    <w:qFormat/>
    <w:uiPriority w:val="0"/>
    <w:pPr>
      <w:widowControl/>
      <w:spacing w:before="280" w:after="280"/>
      <w:jc w:val="center"/>
    </w:pPr>
    <w:rPr>
      <w:rFonts w:ascii="宋体" w:hAnsi="宋体" w:cs="宋体"/>
      <w:color w:val="000000"/>
      <w:kern w:val="0"/>
      <w:sz w:val="20"/>
    </w:rPr>
  </w:style>
  <w:style w:type="paragraph" w:customStyle="1" w:styleId="321">
    <w:name w:val="正文段"/>
    <w:basedOn w:val="1"/>
    <w:next w:val="115"/>
    <w:qFormat/>
    <w:uiPriority w:val="0"/>
    <w:pPr>
      <w:spacing w:after="240" w:line="312" w:lineRule="atLeast"/>
      <w:ind w:firstLine="425"/>
    </w:pPr>
    <w:rPr>
      <w:rFonts w:hAnsi="宋体" w:cs="宋体"/>
      <w:kern w:val="0"/>
      <w:sz w:val="24"/>
    </w:rPr>
  </w:style>
  <w:style w:type="paragraph" w:customStyle="1" w:styleId="322">
    <w:name w:val="样式12"/>
    <w:next w:val="323"/>
    <w:qFormat/>
    <w:uiPriority w:val="0"/>
    <w:pPr>
      <w:widowControl w:val="0"/>
      <w:jc w:val="center"/>
    </w:pPr>
    <w:rPr>
      <w:rFonts w:ascii="Times New Roman" w:hAnsi="宋体" w:eastAsia="宋体" w:cs="宋体"/>
      <w:sz w:val="18"/>
      <w:lang w:val="en-US" w:eastAsia="zh-CN" w:bidi="ar-SA"/>
    </w:rPr>
  </w:style>
  <w:style w:type="paragraph" w:customStyle="1" w:styleId="323">
    <w:name w:val="Char Char1 Char Char Char"/>
    <w:next w:val="312"/>
    <w:qFormat/>
    <w:uiPriority w:val="0"/>
    <w:pPr>
      <w:widowControl w:val="0"/>
      <w:shd w:val="clear" w:color="000000" w:fill="000080"/>
      <w:jc w:val="both"/>
    </w:pPr>
    <w:rPr>
      <w:rFonts w:ascii="Times New Roman" w:hAnsi="宋体" w:eastAsia="Times New Roman" w:cs="宋体"/>
      <w:sz w:val="21"/>
      <w:lang w:val="en-US" w:eastAsia="zh-CN" w:bidi="ar-SA"/>
    </w:rPr>
  </w:style>
  <w:style w:type="paragraph" w:customStyle="1" w:styleId="324">
    <w:name w:val="Char Char1 Char Char Char Char Char Char Char Char Char Char Char Char Char Char"/>
    <w:basedOn w:val="1"/>
    <w:next w:val="325"/>
    <w:qFormat/>
    <w:uiPriority w:val="0"/>
    <w:pPr>
      <w:spacing w:after="160" w:line="240" w:lineRule="exact"/>
    </w:pPr>
    <w:rPr>
      <w:rFonts w:hAnsi="宋体" w:cs="宋体"/>
      <w:kern w:val="0"/>
    </w:rPr>
  </w:style>
  <w:style w:type="paragraph" w:customStyle="1" w:styleId="325">
    <w:name w:val="xl170"/>
    <w:basedOn w:val="1"/>
    <w:next w:val="326"/>
    <w:qFormat/>
    <w:uiPriority w:val="0"/>
    <w:pPr>
      <w:widowControl/>
      <w:shd w:val="clear" w:color="000000" w:fill="0066CC"/>
      <w:spacing w:before="280" w:after="280"/>
      <w:jc w:val="center"/>
    </w:pPr>
    <w:rPr>
      <w:rFonts w:ascii="宋体" w:hAnsi="宋体" w:cs="宋体"/>
      <w:kern w:val="0"/>
      <w:sz w:val="20"/>
    </w:rPr>
  </w:style>
  <w:style w:type="paragraph" w:customStyle="1" w:styleId="326">
    <w:name w:val="reader-word-layer reader-word-s1-9"/>
    <w:basedOn w:val="1"/>
    <w:next w:val="44"/>
    <w:qFormat/>
    <w:uiPriority w:val="0"/>
    <w:pPr>
      <w:widowControl/>
      <w:spacing w:before="280" w:after="280"/>
    </w:pPr>
    <w:rPr>
      <w:rFonts w:ascii="宋体" w:hAnsi="宋体" w:cs="宋体"/>
      <w:kern w:val="0"/>
      <w:sz w:val="24"/>
    </w:rPr>
  </w:style>
  <w:style w:type="paragraph" w:customStyle="1" w:styleId="327">
    <w:name w:val="Char Char Char Char Char Char Char Char Char Char Char Char Char Char Char"/>
    <w:basedOn w:val="1"/>
    <w:next w:val="238"/>
    <w:qFormat/>
    <w:uiPriority w:val="0"/>
    <w:pPr>
      <w:widowControl/>
      <w:spacing w:line="400" w:lineRule="exact"/>
      <w:jc w:val="center"/>
    </w:pPr>
    <w:rPr>
      <w:rFonts w:ascii="Verdana" w:hAnsi="宋体" w:cs="宋体"/>
      <w:kern w:val="0"/>
    </w:rPr>
  </w:style>
  <w:style w:type="paragraph" w:customStyle="1" w:styleId="328">
    <w:name w:val="xl131"/>
    <w:basedOn w:val="1"/>
    <w:next w:val="329"/>
    <w:qFormat/>
    <w:uiPriority w:val="0"/>
    <w:pPr>
      <w:widowControl/>
      <w:spacing w:before="280" w:after="280"/>
    </w:pPr>
    <w:rPr>
      <w:rFonts w:ascii="宋体" w:hAnsi="宋体" w:cs="宋体"/>
      <w:kern w:val="0"/>
      <w:sz w:val="24"/>
    </w:rPr>
  </w:style>
  <w:style w:type="paragraph" w:customStyle="1" w:styleId="329">
    <w:name w:val="样式7"/>
    <w:next w:val="1"/>
    <w:qFormat/>
    <w:uiPriority w:val="0"/>
    <w:pPr>
      <w:widowControl w:val="0"/>
      <w:jc w:val="both"/>
    </w:pPr>
    <w:rPr>
      <w:rFonts w:ascii="Times New Roman" w:hAnsi="宋体" w:eastAsia="仿宋_GB2312" w:cs="宋体"/>
      <w:sz w:val="28"/>
      <w:lang w:val="en-US" w:eastAsia="zh-CN" w:bidi="ar-SA"/>
    </w:rPr>
  </w:style>
  <w:style w:type="paragraph" w:customStyle="1" w:styleId="330">
    <w:name w:val="xl148"/>
    <w:basedOn w:val="1"/>
    <w:next w:val="331"/>
    <w:qFormat/>
    <w:uiPriority w:val="0"/>
    <w:pPr>
      <w:widowControl/>
      <w:spacing w:before="280" w:after="280"/>
    </w:pPr>
    <w:rPr>
      <w:rFonts w:ascii="宋体" w:hAnsi="宋体" w:cs="宋体"/>
      <w:kern w:val="0"/>
      <w:sz w:val="20"/>
    </w:rPr>
  </w:style>
  <w:style w:type="paragraph" w:customStyle="1" w:styleId="331">
    <w:name w:val="Char Char Char1 Char Char Char Char Char Char Char"/>
    <w:basedOn w:val="1"/>
    <w:next w:val="332"/>
    <w:qFormat/>
    <w:uiPriority w:val="0"/>
    <w:rPr>
      <w:rFonts w:ascii="Tahoma" w:hAnsi="宋体" w:cs="宋体"/>
      <w:kern w:val="0"/>
      <w:sz w:val="24"/>
    </w:rPr>
  </w:style>
  <w:style w:type="paragraph" w:customStyle="1" w:styleId="332">
    <w:name w:val="目录 31"/>
    <w:basedOn w:val="1"/>
    <w:next w:val="1"/>
    <w:qFormat/>
    <w:uiPriority w:val="0"/>
    <w:pPr>
      <w:ind w:left="840"/>
    </w:pPr>
    <w:rPr>
      <w:rFonts w:hAnsi="宋体" w:eastAsia="仿宋_GB2312" w:cs="宋体"/>
      <w:kern w:val="0"/>
      <w:sz w:val="28"/>
    </w:rPr>
  </w:style>
  <w:style w:type="paragraph" w:customStyle="1" w:styleId="333">
    <w:name w:val="msoquote"/>
    <w:basedOn w:val="1"/>
    <w:next w:val="1"/>
    <w:qFormat/>
    <w:uiPriority w:val="0"/>
    <w:rPr>
      <w:rFonts w:hAnsi="宋体" w:cs="宋体"/>
      <w:i/>
      <w:color w:val="000000"/>
      <w:kern w:val="0"/>
    </w:rPr>
  </w:style>
  <w:style w:type="paragraph" w:customStyle="1" w:styleId="334">
    <w:name w:val="font11"/>
    <w:basedOn w:val="1"/>
    <w:next w:val="333"/>
    <w:qFormat/>
    <w:uiPriority w:val="0"/>
    <w:pPr>
      <w:widowControl/>
      <w:spacing w:before="280" w:after="280"/>
    </w:pPr>
    <w:rPr>
      <w:rFonts w:ascii="宋体" w:hAnsi="宋体" w:cs="宋体"/>
      <w:kern w:val="0"/>
      <w:sz w:val="18"/>
    </w:rPr>
  </w:style>
  <w:style w:type="paragraph" w:customStyle="1" w:styleId="335">
    <w:name w:val="xl144"/>
    <w:basedOn w:val="1"/>
    <w:next w:val="334"/>
    <w:qFormat/>
    <w:uiPriority w:val="0"/>
    <w:pPr>
      <w:widowControl/>
      <w:spacing w:before="280" w:after="280"/>
      <w:jc w:val="center"/>
    </w:pPr>
    <w:rPr>
      <w:rFonts w:ascii="宋体" w:hAnsi="宋体" w:cs="宋体"/>
      <w:kern w:val="0"/>
      <w:sz w:val="20"/>
    </w:rPr>
  </w:style>
  <w:style w:type="paragraph" w:customStyle="1" w:styleId="336">
    <w:name w:val="xl138"/>
    <w:basedOn w:val="1"/>
    <w:next w:val="337"/>
    <w:qFormat/>
    <w:uiPriority w:val="0"/>
    <w:pPr>
      <w:widowControl/>
      <w:spacing w:before="280" w:after="280"/>
      <w:jc w:val="center"/>
    </w:pPr>
    <w:rPr>
      <w:rFonts w:ascii="宋体" w:hAnsi="宋体" w:cs="宋体"/>
      <w:kern w:val="0"/>
      <w:sz w:val="24"/>
    </w:rPr>
  </w:style>
  <w:style w:type="paragraph" w:customStyle="1" w:styleId="337">
    <w:name w:val="Paragraph P1&amp;2"/>
    <w:basedOn w:val="1"/>
    <w:next w:val="338"/>
    <w:qFormat/>
    <w:uiPriority w:val="0"/>
    <w:pPr>
      <w:widowControl/>
      <w:spacing w:before="40" w:after="60" w:line="360" w:lineRule="auto"/>
      <w:ind w:left="720" w:hanging="360"/>
    </w:pPr>
    <w:rPr>
      <w:rFonts w:ascii="宋体" w:hAnsi="宋体" w:cs="宋体"/>
      <w:color w:val="FF0000"/>
      <w:kern w:val="0"/>
      <w:sz w:val="24"/>
    </w:rPr>
  </w:style>
  <w:style w:type="paragraph" w:customStyle="1" w:styleId="338">
    <w:name w:val="xl169"/>
    <w:basedOn w:val="1"/>
    <w:next w:val="324"/>
    <w:qFormat/>
    <w:uiPriority w:val="0"/>
    <w:pPr>
      <w:widowControl/>
      <w:shd w:val="clear" w:color="000000" w:fill="C0C0C0"/>
      <w:spacing w:before="280" w:after="280"/>
      <w:jc w:val="center"/>
    </w:pPr>
    <w:rPr>
      <w:rFonts w:ascii="宋体" w:hAnsi="宋体" w:cs="宋体"/>
      <w:kern w:val="0"/>
      <w:sz w:val="20"/>
    </w:rPr>
  </w:style>
  <w:style w:type="paragraph" w:customStyle="1" w:styleId="339">
    <w:name w:val="样式10"/>
    <w:next w:val="142"/>
    <w:qFormat/>
    <w:uiPriority w:val="0"/>
    <w:pPr>
      <w:widowControl w:val="0"/>
      <w:jc w:val="center"/>
    </w:pPr>
    <w:rPr>
      <w:rFonts w:ascii="Times New Roman" w:hAnsi="宋体" w:eastAsia="宋体" w:cs="宋体"/>
      <w:sz w:val="18"/>
      <w:lang w:val="en-US" w:eastAsia="zh-CN" w:bidi="ar-SA"/>
    </w:rPr>
  </w:style>
  <w:style w:type="paragraph" w:customStyle="1" w:styleId="340">
    <w:name w:val="xl158"/>
    <w:basedOn w:val="1"/>
    <w:next w:val="341"/>
    <w:qFormat/>
    <w:uiPriority w:val="0"/>
    <w:pPr>
      <w:widowControl/>
      <w:spacing w:before="280" w:after="280"/>
    </w:pPr>
    <w:rPr>
      <w:rFonts w:ascii="宋体" w:hAnsi="宋体" w:cs="宋体"/>
      <w:b/>
      <w:kern w:val="0"/>
      <w:sz w:val="18"/>
    </w:rPr>
  </w:style>
  <w:style w:type="paragraph" w:customStyle="1" w:styleId="341">
    <w:name w:val="TOC 标题11"/>
    <w:basedOn w:val="2"/>
    <w:next w:val="1"/>
    <w:qFormat/>
    <w:uiPriority w:val="0"/>
    <w:pPr>
      <w:keepNext w:val="0"/>
      <w:keepLines w:val="0"/>
      <w:widowControl/>
      <w:adjustRightInd/>
      <w:spacing w:before="480" w:after="0" w:line="276" w:lineRule="auto"/>
      <w:textAlignment w:val="auto"/>
    </w:pPr>
    <w:rPr>
      <w:rFonts w:ascii="Cambria" w:hAnsi="宋体" w:cs="宋体"/>
      <w:color w:val="365F91"/>
      <w:kern w:val="0"/>
      <w:sz w:val="28"/>
    </w:rPr>
  </w:style>
  <w:style w:type="paragraph" w:customStyle="1" w:styleId="342">
    <w:name w:val="xl24"/>
    <w:basedOn w:val="1"/>
    <w:next w:val="343"/>
    <w:qFormat/>
    <w:uiPriority w:val="0"/>
    <w:pPr>
      <w:widowControl/>
      <w:spacing w:before="280" w:after="280"/>
    </w:pPr>
    <w:rPr>
      <w:rFonts w:ascii="宋体" w:hAnsi="宋体" w:cs="宋体"/>
      <w:kern w:val="0"/>
      <w:sz w:val="20"/>
    </w:rPr>
  </w:style>
  <w:style w:type="paragraph" w:customStyle="1" w:styleId="343">
    <w:name w:val="xl159"/>
    <w:basedOn w:val="1"/>
    <w:next w:val="344"/>
    <w:qFormat/>
    <w:uiPriority w:val="0"/>
    <w:pPr>
      <w:widowControl/>
      <w:spacing w:before="280" w:after="280"/>
    </w:pPr>
    <w:rPr>
      <w:rFonts w:ascii="宋体" w:hAnsi="宋体" w:cs="宋体"/>
      <w:b/>
      <w:kern w:val="0"/>
      <w:sz w:val="18"/>
    </w:rPr>
  </w:style>
  <w:style w:type="paragraph" w:customStyle="1" w:styleId="344">
    <w:name w:val="xl171"/>
    <w:basedOn w:val="1"/>
    <w:qFormat/>
    <w:uiPriority w:val="0"/>
    <w:pPr>
      <w:widowControl/>
      <w:spacing w:before="280" w:after="280"/>
      <w:jc w:val="center"/>
    </w:pPr>
    <w:rPr>
      <w:rFonts w:ascii="华文中宋" w:hAnsi="宋体" w:eastAsia="华文中宋" w:cs="宋体"/>
      <w:kern w:val="0"/>
      <w:sz w:val="24"/>
    </w:rPr>
  </w:style>
  <w:style w:type="paragraph" w:customStyle="1" w:styleId="345">
    <w:name w:val="reader-word-layer reader-word-s1-11"/>
    <w:basedOn w:val="1"/>
    <w:next w:val="346"/>
    <w:qFormat/>
    <w:uiPriority w:val="0"/>
    <w:pPr>
      <w:widowControl/>
      <w:spacing w:before="280" w:after="280"/>
    </w:pPr>
    <w:rPr>
      <w:rFonts w:ascii="宋体" w:hAnsi="宋体" w:cs="宋体"/>
      <w:kern w:val="0"/>
      <w:sz w:val="24"/>
    </w:rPr>
  </w:style>
  <w:style w:type="paragraph" w:customStyle="1" w:styleId="346">
    <w:name w:val="目录 22"/>
    <w:next w:val="1"/>
    <w:qFormat/>
    <w:uiPriority w:val="0"/>
    <w:pPr>
      <w:wordWrap w:val="0"/>
      <w:ind w:left="425"/>
      <w:jc w:val="both"/>
    </w:pPr>
    <w:rPr>
      <w:rFonts w:ascii="宋体" w:hAnsi="宋体" w:eastAsia="宋体" w:cs="宋体"/>
      <w:sz w:val="21"/>
      <w:lang w:val="en-US" w:eastAsia="zh-CN" w:bidi="ar-SA"/>
    </w:rPr>
  </w:style>
  <w:style w:type="paragraph" w:customStyle="1" w:styleId="347">
    <w:name w:val="reader-word-layer reader-word-s1-10"/>
    <w:basedOn w:val="1"/>
    <w:next w:val="348"/>
    <w:qFormat/>
    <w:uiPriority w:val="0"/>
    <w:pPr>
      <w:widowControl/>
      <w:spacing w:before="280" w:after="280"/>
    </w:pPr>
    <w:rPr>
      <w:rFonts w:ascii="宋体" w:hAnsi="宋体" w:cs="宋体"/>
      <w:kern w:val="0"/>
      <w:sz w:val="24"/>
    </w:rPr>
  </w:style>
  <w:style w:type="paragraph" w:customStyle="1" w:styleId="348">
    <w:name w:val="目录 41"/>
    <w:next w:val="1"/>
    <w:qFormat/>
    <w:uiPriority w:val="0"/>
    <w:pPr>
      <w:wordWrap w:val="0"/>
      <w:ind w:left="1275"/>
      <w:jc w:val="both"/>
    </w:pPr>
    <w:rPr>
      <w:rFonts w:ascii="宋体" w:hAnsi="宋体" w:eastAsia="宋体" w:cs="宋体"/>
      <w:sz w:val="21"/>
      <w:lang w:val="en-US" w:eastAsia="zh-CN" w:bidi="ar-SA"/>
    </w:rPr>
  </w:style>
  <w:style w:type="paragraph" w:customStyle="1" w:styleId="349">
    <w:name w:val="font14"/>
    <w:basedOn w:val="1"/>
    <w:next w:val="350"/>
    <w:qFormat/>
    <w:uiPriority w:val="0"/>
    <w:pPr>
      <w:widowControl/>
      <w:spacing w:before="280" w:after="280"/>
    </w:pPr>
    <w:rPr>
      <w:rFonts w:ascii="宋体" w:hAnsi="宋体" w:cs="宋体"/>
      <w:kern w:val="0"/>
      <w:sz w:val="18"/>
    </w:rPr>
  </w:style>
  <w:style w:type="paragraph" w:customStyle="1" w:styleId="350">
    <w:name w:val="五号正文（标准）"/>
    <w:basedOn w:val="1"/>
    <w:next w:val="323"/>
    <w:qFormat/>
    <w:uiPriority w:val="0"/>
    <w:pPr>
      <w:spacing w:line="360" w:lineRule="auto"/>
      <w:ind w:firstLine="600"/>
    </w:pPr>
    <w:rPr>
      <w:rFonts w:ascii="仿宋_GB2312" w:hAnsi="宋体" w:eastAsia="仿宋_GB2312" w:cs="宋体"/>
      <w:b/>
      <w:kern w:val="0"/>
      <w:sz w:val="30"/>
    </w:rPr>
  </w:style>
  <w:style w:type="paragraph" w:customStyle="1" w:styleId="351">
    <w:name w:val="正文缩进1"/>
    <w:basedOn w:val="1"/>
    <w:next w:val="352"/>
    <w:qFormat/>
    <w:uiPriority w:val="0"/>
    <w:pPr>
      <w:spacing w:line="312" w:lineRule="atLeast"/>
      <w:ind w:firstLine="420"/>
    </w:pPr>
    <w:rPr>
      <w:rFonts w:ascii="Plotter" w:hAnsi="宋体" w:cs="宋体"/>
      <w:kern w:val="0"/>
    </w:rPr>
  </w:style>
  <w:style w:type="paragraph" w:customStyle="1" w:styleId="352">
    <w:name w:val="List Paragraph1"/>
    <w:basedOn w:val="1"/>
    <w:next w:val="108"/>
    <w:qFormat/>
    <w:uiPriority w:val="0"/>
    <w:pPr>
      <w:ind w:firstLine="420"/>
    </w:pPr>
    <w:rPr>
      <w:rFonts w:hAnsi="宋体" w:cs="宋体"/>
      <w:kern w:val="0"/>
    </w:rPr>
  </w:style>
  <w:style w:type="paragraph" w:customStyle="1" w:styleId="353">
    <w:name w:val="font13"/>
    <w:basedOn w:val="1"/>
    <w:next w:val="354"/>
    <w:qFormat/>
    <w:uiPriority w:val="0"/>
    <w:pPr>
      <w:widowControl/>
      <w:spacing w:before="280" w:after="280"/>
    </w:pPr>
    <w:rPr>
      <w:rFonts w:ascii="宋体" w:hAnsi="宋体" w:cs="宋体"/>
      <w:kern w:val="0"/>
      <w:sz w:val="20"/>
    </w:rPr>
  </w:style>
  <w:style w:type="paragraph" w:customStyle="1" w:styleId="354">
    <w:name w:val="表格文字"/>
    <w:basedOn w:val="1"/>
    <w:next w:val="1"/>
    <w:qFormat/>
    <w:uiPriority w:val="0"/>
    <w:pPr>
      <w:autoSpaceDE w:val="0"/>
      <w:autoSpaceDN w:val="0"/>
      <w:spacing w:before="6" w:after="6"/>
    </w:pPr>
    <w:rPr>
      <w:rFonts w:ascii="宋体" w:hAnsi="宋体" w:cs="宋体"/>
      <w:kern w:val="0"/>
      <w:sz w:val="20"/>
    </w:rPr>
  </w:style>
  <w:style w:type="paragraph" w:customStyle="1" w:styleId="355">
    <w:name w:val="目录 81"/>
    <w:next w:val="1"/>
    <w:qFormat/>
    <w:uiPriority w:val="0"/>
    <w:pPr>
      <w:wordWrap w:val="0"/>
      <w:ind w:left="2975"/>
      <w:jc w:val="both"/>
    </w:pPr>
    <w:rPr>
      <w:rFonts w:ascii="宋体" w:hAnsi="宋体" w:eastAsia="宋体" w:cs="宋体"/>
      <w:sz w:val="21"/>
      <w:lang w:val="en-US" w:eastAsia="zh-CN" w:bidi="ar-SA"/>
    </w:rPr>
  </w:style>
  <w:style w:type="paragraph" w:customStyle="1" w:styleId="356">
    <w:name w:val="样式 标题 2 + (西文) 宋体 居中"/>
    <w:basedOn w:val="3"/>
    <w:next w:val="315"/>
    <w:qFormat/>
    <w:uiPriority w:val="0"/>
    <w:pPr>
      <w:keepNext w:val="0"/>
      <w:keepLines w:val="0"/>
      <w:adjustRightInd/>
      <w:spacing w:line="416" w:lineRule="auto"/>
      <w:jc w:val="center"/>
      <w:textAlignment w:val="auto"/>
    </w:pPr>
    <w:rPr>
      <w:rFonts w:ascii="宋体" w:hAnsi="宋体" w:cs="宋体"/>
    </w:rPr>
  </w:style>
  <w:style w:type="paragraph" w:customStyle="1" w:styleId="357">
    <w:name w:val="样式5"/>
    <w:basedOn w:val="126"/>
    <w:next w:val="106"/>
    <w:qFormat/>
    <w:uiPriority w:val="0"/>
    <w:pPr>
      <w:spacing w:before="340" w:after="330" w:line="360" w:lineRule="auto"/>
      <w:ind w:firstLine="0" w:firstLineChars="0"/>
      <w:jc w:val="center"/>
      <w:outlineLvl w:val="0"/>
    </w:pPr>
    <w:rPr>
      <w:rFonts w:ascii="Times New Roman" w:hAnsi="宋体" w:eastAsia="黑体" w:cs="宋体"/>
      <w:b/>
      <w:kern w:val="0"/>
      <w:sz w:val="36"/>
      <w:szCs w:val="20"/>
    </w:rPr>
  </w:style>
  <w:style w:type="paragraph" w:customStyle="1" w:styleId="358">
    <w:name w:val="样式 标题 3h3section:3Level 3 HeadH3level_3PIM 33rd level3H..."/>
    <w:basedOn w:val="4"/>
    <w:next w:val="303"/>
    <w:qFormat/>
    <w:uiPriority w:val="0"/>
    <w:pPr>
      <w:keepNext w:val="0"/>
      <w:keepLines w:val="0"/>
      <w:adjustRightInd/>
      <w:ind w:left="1680" w:hanging="420"/>
      <w:textAlignment w:val="auto"/>
    </w:pPr>
    <w:rPr>
      <w:rFonts w:ascii="Arial" w:hAnsi="宋体" w:cs="宋体"/>
      <w:sz w:val="24"/>
    </w:rPr>
  </w:style>
  <w:style w:type="paragraph" w:customStyle="1" w:styleId="359">
    <w:name w:val="样式2"/>
    <w:basedOn w:val="3"/>
    <w:next w:val="1"/>
    <w:qFormat/>
    <w:uiPriority w:val="0"/>
    <w:pPr>
      <w:keepNext w:val="0"/>
      <w:keepLines w:val="0"/>
      <w:adjustRightInd/>
      <w:spacing w:line="240" w:lineRule="auto"/>
      <w:jc w:val="center"/>
      <w:textAlignment w:val="auto"/>
    </w:pPr>
    <w:rPr>
      <w:rFonts w:hAnsi="宋体" w:cs="宋体"/>
      <w:sz w:val="36"/>
    </w:rPr>
  </w:style>
  <w:style w:type="paragraph" w:customStyle="1" w:styleId="360">
    <w:name w:val="样式 (中文) 黑体 小三 加粗 居中 行距: 1.5 倍行距"/>
    <w:basedOn w:val="1"/>
    <w:next w:val="1"/>
    <w:qFormat/>
    <w:uiPriority w:val="0"/>
    <w:pPr>
      <w:spacing w:line="360" w:lineRule="auto"/>
      <w:jc w:val="center"/>
    </w:pPr>
    <w:rPr>
      <w:rFonts w:hAnsi="宋体" w:eastAsia="黑体" w:cs="宋体"/>
      <w:b/>
      <w:kern w:val="0"/>
      <w:sz w:val="30"/>
    </w:rPr>
  </w:style>
  <w:style w:type="paragraph" w:customStyle="1" w:styleId="361">
    <w:name w:val="xl146"/>
    <w:basedOn w:val="1"/>
    <w:next w:val="359"/>
    <w:qFormat/>
    <w:uiPriority w:val="0"/>
    <w:pPr>
      <w:widowControl/>
      <w:spacing w:before="280" w:after="280"/>
    </w:pPr>
    <w:rPr>
      <w:rFonts w:ascii="宋体" w:hAnsi="宋体" w:cs="宋体"/>
      <w:kern w:val="0"/>
      <w:sz w:val="24"/>
    </w:rPr>
  </w:style>
  <w:style w:type="paragraph" w:customStyle="1" w:styleId="362">
    <w:name w:val="xl130"/>
    <w:basedOn w:val="1"/>
    <w:next w:val="106"/>
    <w:qFormat/>
    <w:uiPriority w:val="0"/>
    <w:pPr>
      <w:widowControl/>
      <w:spacing w:before="280" w:after="280"/>
    </w:pPr>
    <w:rPr>
      <w:rFonts w:ascii="宋体" w:hAnsi="宋体" w:cs="宋体"/>
      <w:kern w:val="0"/>
      <w:sz w:val="24"/>
    </w:rPr>
  </w:style>
  <w:style w:type="paragraph" w:customStyle="1" w:styleId="363">
    <w:name w:val="font10"/>
    <w:basedOn w:val="1"/>
    <w:next w:val="141"/>
    <w:qFormat/>
    <w:uiPriority w:val="0"/>
    <w:pPr>
      <w:widowControl/>
      <w:spacing w:before="280" w:after="280"/>
    </w:pPr>
    <w:rPr>
      <w:rFonts w:ascii="宋体" w:hAnsi="宋体" w:cs="宋体"/>
      <w:kern w:val="0"/>
      <w:sz w:val="16"/>
    </w:rPr>
  </w:style>
  <w:style w:type="paragraph" w:customStyle="1" w:styleId="364">
    <w:name w:val="样式6"/>
    <w:next w:val="1"/>
    <w:qFormat/>
    <w:uiPriority w:val="0"/>
    <w:pPr>
      <w:widowControl w:val="0"/>
      <w:jc w:val="both"/>
    </w:pPr>
    <w:rPr>
      <w:rFonts w:ascii="Times New Roman" w:hAnsi="宋体" w:eastAsia="仿宋_GB2312" w:cs="宋体"/>
      <w:sz w:val="28"/>
      <w:lang w:val="en-US" w:eastAsia="zh-CN" w:bidi="ar-SA"/>
    </w:rPr>
  </w:style>
  <w:style w:type="paragraph" w:customStyle="1" w:styleId="365">
    <w:name w:val="xl143"/>
    <w:basedOn w:val="1"/>
    <w:next w:val="1"/>
    <w:qFormat/>
    <w:uiPriority w:val="0"/>
    <w:pPr>
      <w:widowControl/>
      <w:spacing w:before="280" w:after="280"/>
      <w:jc w:val="center"/>
    </w:pPr>
    <w:rPr>
      <w:rFonts w:ascii="宋体" w:hAnsi="宋体" w:cs="宋体"/>
      <w:color w:val="000000"/>
      <w:kern w:val="0"/>
      <w:sz w:val="20"/>
    </w:rPr>
  </w:style>
  <w:style w:type="paragraph" w:customStyle="1" w:styleId="366">
    <w:name w:val="xl137"/>
    <w:basedOn w:val="1"/>
    <w:next w:val="367"/>
    <w:qFormat/>
    <w:uiPriority w:val="0"/>
    <w:pPr>
      <w:widowControl/>
      <w:spacing w:before="280" w:after="280"/>
      <w:jc w:val="center"/>
    </w:pPr>
    <w:rPr>
      <w:rFonts w:ascii="宋体" w:hAnsi="宋体" w:cs="宋体"/>
      <w:kern w:val="0"/>
      <w:sz w:val="20"/>
    </w:rPr>
  </w:style>
  <w:style w:type="paragraph" w:customStyle="1" w:styleId="367">
    <w:name w:val="xl140"/>
    <w:basedOn w:val="1"/>
    <w:next w:val="365"/>
    <w:qFormat/>
    <w:uiPriority w:val="0"/>
    <w:pPr>
      <w:widowControl/>
      <w:spacing w:before="280" w:after="280"/>
    </w:pPr>
    <w:rPr>
      <w:rFonts w:ascii="宋体" w:hAnsi="宋体" w:cs="宋体"/>
      <w:kern w:val="0"/>
      <w:sz w:val="18"/>
    </w:rPr>
  </w:style>
  <w:style w:type="paragraph" w:customStyle="1" w:styleId="368">
    <w:name w:val="目录 62"/>
    <w:next w:val="1"/>
    <w:qFormat/>
    <w:uiPriority w:val="0"/>
    <w:pPr>
      <w:wordWrap w:val="0"/>
      <w:ind w:left="2125"/>
      <w:jc w:val="both"/>
    </w:pPr>
    <w:rPr>
      <w:rFonts w:ascii="宋体" w:hAnsi="宋体" w:eastAsia="宋体" w:cs="宋体"/>
      <w:sz w:val="21"/>
      <w:lang w:val="en-US" w:eastAsia="zh-CN" w:bidi="ar-SA"/>
    </w:rPr>
  </w:style>
  <w:style w:type="paragraph" w:customStyle="1" w:styleId="369">
    <w:name w:val="xl157"/>
    <w:basedOn w:val="1"/>
    <w:next w:val="1"/>
    <w:qFormat/>
    <w:uiPriority w:val="0"/>
    <w:pPr>
      <w:widowControl/>
      <w:spacing w:before="280" w:after="280"/>
    </w:pPr>
    <w:rPr>
      <w:rFonts w:ascii="宋体" w:hAnsi="宋体" w:cs="宋体"/>
      <w:b/>
      <w:kern w:val="0"/>
      <w:sz w:val="18"/>
    </w:rPr>
  </w:style>
  <w:style w:type="paragraph" w:customStyle="1" w:styleId="370">
    <w:name w:val="font12"/>
    <w:basedOn w:val="1"/>
    <w:next w:val="371"/>
    <w:qFormat/>
    <w:uiPriority w:val="0"/>
    <w:pPr>
      <w:widowControl/>
      <w:spacing w:before="280" w:after="280"/>
    </w:pPr>
    <w:rPr>
      <w:rFonts w:ascii="宋体" w:hAnsi="宋体" w:cs="宋体"/>
      <w:color w:val="000000"/>
      <w:kern w:val="0"/>
      <w:sz w:val="18"/>
    </w:rPr>
  </w:style>
  <w:style w:type="paragraph" w:customStyle="1" w:styleId="371">
    <w:name w:val="_Style 17"/>
    <w:basedOn w:val="1"/>
    <w:next w:val="372"/>
    <w:qFormat/>
    <w:uiPriority w:val="0"/>
    <w:pPr>
      <w:widowControl/>
      <w:spacing w:line="400" w:lineRule="exact"/>
      <w:jc w:val="center"/>
    </w:pPr>
    <w:rPr>
      <w:rFonts w:hAnsi="宋体" w:cs="宋体"/>
      <w:kern w:val="0"/>
    </w:rPr>
  </w:style>
  <w:style w:type="paragraph" w:customStyle="1" w:styleId="372">
    <w:name w:val="xl132"/>
    <w:basedOn w:val="1"/>
    <w:next w:val="1"/>
    <w:qFormat/>
    <w:uiPriority w:val="0"/>
    <w:pPr>
      <w:widowControl/>
      <w:shd w:val="clear" w:color="000000" w:fill="0066CC"/>
      <w:spacing w:before="280" w:after="280"/>
      <w:jc w:val="center"/>
    </w:pPr>
    <w:rPr>
      <w:rFonts w:ascii="宋体" w:hAnsi="宋体" w:cs="宋体"/>
      <w:kern w:val="0"/>
      <w:sz w:val="20"/>
    </w:rPr>
  </w:style>
  <w:style w:type="paragraph" w:customStyle="1" w:styleId="373">
    <w:name w:val="德吉标题二"/>
    <w:basedOn w:val="3"/>
    <w:next w:val="19"/>
    <w:qFormat/>
    <w:uiPriority w:val="0"/>
    <w:pPr>
      <w:keepNext w:val="0"/>
      <w:keepLines w:val="0"/>
      <w:adjustRightInd/>
      <w:spacing w:line="416" w:lineRule="auto"/>
      <w:textAlignment w:val="auto"/>
    </w:pPr>
    <w:rPr>
      <w:rFonts w:ascii="仿宋_GB2312" w:hAnsi="宋体" w:eastAsia="仿宋_GB2312" w:cs="宋体"/>
    </w:rPr>
  </w:style>
  <w:style w:type="paragraph" w:customStyle="1" w:styleId="374">
    <w:name w:val="目录 92"/>
    <w:next w:val="1"/>
    <w:qFormat/>
    <w:uiPriority w:val="0"/>
    <w:pPr>
      <w:wordWrap w:val="0"/>
      <w:ind w:left="3400"/>
      <w:jc w:val="both"/>
    </w:pPr>
    <w:rPr>
      <w:rFonts w:ascii="宋体" w:hAnsi="宋体" w:eastAsia="宋体" w:cs="宋体"/>
      <w:sz w:val="21"/>
      <w:lang w:val="en-US" w:eastAsia="zh-CN" w:bidi="ar-SA"/>
    </w:rPr>
  </w:style>
  <w:style w:type="paragraph" w:customStyle="1" w:styleId="375">
    <w:name w:val="pa-0"/>
    <w:basedOn w:val="1"/>
    <w:next w:val="297"/>
    <w:qFormat/>
    <w:uiPriority w:val="0"/>
    <w:pPr>
      <w:widowControl/>
      <w:spacing w:line="240" w:lineRule="atLeast"/>
    </w:pPr>
    <w:rPr>
      <w:rFonts w:ascii="宋体" w:hAnsi="宋体" w:cs="宋体"/>
      <w:kern w:val="0"/>
      <w:sz w:val="24"/>
    </w:rPr>
  </w:style>
  <w:style w:type="paragraph" w:customStyle="1" w:styleId="376">
    <w:name w:val="xl136"/>
    <w:basedOn w:val="1"/>
    <w:next w:val="377"/>
    <w:qFormat/>
    <w:uiPriority w:val="0"/>
    <w:pPr>
      <w:widowControl/>
      <w:spacing w:before="280" w:after="280"/>
      <w:jc w:val="center"/>
    </w:pPr>
    <w:rPr>
      <w:rFonts w:ascii="宋体" w:hAnsi="宋体" w:cs="宋体"/>
      <w:kern w:val="0"/>
      <w:sz w:val="20"/>
    </w:rPr>
  </w:style>
  <w:style w:type="paragraph" w:customStyle="1" w:styleId="377">
    <w:name w:val="xl156"/>
    <w:basedOn w:val="1"/>
    <w:next w:val="302"/>
    <w:qFormat/>
    <w:uiPriority w:val="0"/>
    <w:pPr>
      <w:widowControl/>
      <w:shd w:val="clear" w:color="000000" w:fill="C0C0C0"/>
      <w:spacing w:before="280" w:after="280"/>
    </w:pPr>
    <w:rPr>
      <w:rFonts w:ascii="宋体" w:hAnsi="宋体" w:cs="宋体"/>
      <w:kern w:val="0"/>
      <w:sz w:val="20"/>
    </w:rPr>
  </w:style>
  <w:style w:type="paragraph" w:customStyle="1" w:styleId="378">
    <w:name w:val="xl166"/>
    <w:basedOn w:val="1"/>
    <w:next w:val="1"/>
    <w:qFormat/>
    <w:uiPriority w:val="0"/>
    <w:pPr>
      <w:widowControl/>
      <w:spacing w:before="280" w:after="280"/>
    </w:pPr>
    <w:rPr>
      <w:rFonts w:ascii="宋体" w:hAnsi="宋体" w:cs="宋体"/>
      <w:kern w:val="0"/>
      <w:sz w:val="24"/>
    </w:rPr>
  </w:style>
  <w:style w:type="paragraph" w:customStyle="1" w:styleId="379">
    <w:name w:val="font8"/>
    <w:basedOn w:val="1"/>
    <w:next w:val="380"/>
    <w:qFormat/>
    <w:uiPriority w:val="0"/>
    <w:pPr>
      <w:widowControl/>
      <w:spacing w:before="280" w:after="280"/>
    </w:pPr>
    <w:rPr>
      <w:rFonts w:ascii="Arial" w:hAnsi="宋体" w:cs="宋体"/>
      <w:kern w:val="0"/>
      <w:sz w:val="16"/>
    </w:rPr>
  </w:style>
  <w:style w:type="paragraph" w:customStyle="1" w:styleId="380">
    <w:name w:val="目录 71"/>
    <w:next w:val="1"/>
    <w:qFormat/>
    <w:uiPriority w:val="0"/>
    <w:pPr>
      <w:wordWrap w:val="0"/>
      <w:ind w:left="2550"/>
      <w:jc w:val="both"/>
    </w:pPr>
    <w:rPr>
      <w:rFonts w:ascii="宋体" w:hAnsi="宋体" w:eastAsia="宋体" w:cs="宋体"/>
      <w:sz w:val="21"/>
      <w:lang w:val="en-US" w:eastAsia="zh-CN" w:bidi="ar-SA"/>
    </w:rPr>
  </w:style>
  <w:style w:type="paragraph" w:customStyle="1" w:styleId="381">
    <w:name w:val="xl162"/>
    <w:basedOn w:val="1"/>
    <w:next w:val="1"/>
    <w:qFormat/>
    <w:uiPriority w:val="0"/>
    <w:pPr>
      <w:widowControl/>
      <w:spacing w:before="280" w:after="280"/>
    </w:pPr>
    <w:rPr>
      <w:rFonts w:ascii="宋体" w:hAnsi="宋体" w:cs="宋体"/>
      <w:color w:val="000000"/>
      <w:kern w:val="0"/>
      <w:sz w:val="18"/>
    </w:rPr>
  </w:style>
  <w:style w:type="paragraph" w:customStyle="1" w:styleId="382">
    <w:name w:val="prodsubtitle"/>
    <w:basedOn w:val="1"/>
    <w:next w:val="18"/>
    <w:qFormat/>
    <w:uiPriority w:val="0"/>
    <w:pPr>
      <w:widowControl/>
    </w:pPr>
    <w:rPr>
      <w:rFonts w:ascii="宋体" w:hAnsi="宋体" w:cs="宋体"/>
      <w:kern w:val="0"/>
      <w:sz w:val="24"/>
    </w:rPr>
  </w:style>
  <w:style w:type="paragraph" w:customStyle="1" w:styleId="383">
    <w:name w:val="Char Char Char Char1"/>
    <w:basedOn w:val="1"/>
    <w:next w:val="1"/>
    <w:qFormat/>
    <w:uiPriority w:val="0"/>
    <w:pPr>
      <w:widowControl/>
      <w:spacing w:after="160" w:line="240" w:lineRule="exact"/>
    </w:pPr>
    <w:rPr>
      <w:rFonts w:hAnsi="宋体" w:cs="宋体"/>
      <w:kern w:val="0"/>
    </w:rPr>
  </w:style>
  <w:style w:type="paragraph" w:customStyle="1" w:styleId="384">
    <w:name w:val="xl153"/>
    <w:basedOn w:val="1"/>
    <w:next w:val="1"/>
    <w:qFormat/>
    <w:uiPriority w:val="0"/>
    <w:pPr>
      <w:widowControl/>
      <w:shd w:val="clear" w:color="000000" w:fill="C0C0C0"/>
      <w:spacing w:before="280" w:after="280"/>
    </w:pPr>
    <w:rPr>
      <w:rFonts w:ascii="宋体" w:hAnsi="宋体" w:cs="宋体"/>
      <w:kern w:val="0"/>
      <w:sz w:val="20"/>
    </w:rPr>
  </w:style>
  <w:style w:type="paragraph" w:customStyle="1" w:styleId="385">
    <w:name w:val="fontsize"/>
    <w:basedOn w:val="1"/>
    <w:next w:val="104"/>
    <w:qFormat/>
    <w:uiPriority w:val="0"/>
    <w:pPr>
      <w:widowControl/>
      <w:spacing w:before="280" w:after="280"/>
      <w:ind w:firstLine="180"/>
    </w:pPr>
    <w:rPr>
      <w:rFonts w:ascii="Arial Unicode MS" w:hAnsi="宋体" w:eastAsia="Arial Unicode MS" w:cs="宋体"/>
      <w:color w:val="000000"/>
      <w:kern w:val="0"/>
      <w:sz w:val="24"/>
      <w:vertAlign w:val="subscript"/>
    </w:rPr>
  </w:style>
  <w:style w:type="paragraph" w:customStyle="1" w:styleId="386">
    <w:name w:val="xl149"/>
    <w:basedOn w:val="1"/>
    <w:next w:val="387"/>
    <w:qFormat/>
    <w:uiPriority w:val="0"/>
    <w:pPr>
      <w:widowControl/>
      <w:spacing w:before="280" w:after="280"/>
    </w:pPr>
    <w:rPr>
      <w:rFonts w:ascii="宋体" w:hAnsi="宋体" w:cs="宋体"/>
      <w:kern w:val="0"/>
      <w:sz w:val="18"/>
    </w:rPr>
  </w:style>
  <w:style w:type="paragraph" w:customStyle="1" w:styleId="387">
    <w:name w:val="xl133"/>
    <w:basedOn w:val="1"/>
    <w:next w:val="388"/>
    <w:qFormat/>
    <w:uiPriority w:val="0"/>
    <w:pPr>
      <w:widowControl/>
      <w:shd w:val="clear" w:color="000000" w:fill="C0C0C0"/>
      <w:spacing w:before="280" w:after="280"/>
    </w:pPr>
    <w:rPr>
      <w:rFonts w:ascii="宋体" w:hAnsi="宋体" w:cs="宋体"/>
      <w:kern w:val="0"/>
      <w:sz w:val="20"/>
    </w:rPr>
  </w:style>
  <w:style w:type="paragraph" w:customStyle="1" w:styleId="388">
    <w:name w:val="msointensequote"/>
    <w:basedOn w:val="1"/>
    <w:next w:val="1"/>
    <w:qFormat/>
    <w:uiPriority w:val="0"/>
    <w:pPr>
      <w:spacing w:before="200" w:after="280"/>
      <w:ind w:left="936" w:right="936"/>
    </w:pPr>
    <w:rPr>
      <w:rFonts w:hAnsi="宋体" w:cs="宋体"/>
      <w:b/>
      <w:i/>
      <w:color w:val="4F81BD"/>
      <w:kern w:val="0"/>
    </w:rPr>
  </w:style>
  <w:style w:type="paragraph" w:customStyle="1" w:styleId="389">
    <w:name w:val="样式 (中文) 黑体 小二 加粗 居中 行距: 1.5 倍行距"/>
    <w:basedOn w:val="2"/>
    <w:next w:val="364"/>
    <w:qFormat/>
    <w:uiPriority w:val="0"/>
    <w:pPr>
      <w:keepNext w:val="0"/>
      <w:keepLines w:val="0"/>
      <w:adjustRightInd/>
      <w:spacing w:line="240" w:lineRule="auto"/>
      <w:jc w:val="center"/>
      <w:textAlignment w:val="auto"/>
    </w:pPr>
    <w:rPr>
      <w:rFonts w:hAnsi="宋体" w:eastAsia="黑体" w:cs="宋体"/>
      <w:b w:val="0"/>
      <w:kern w:val="0"/>
      <w:sz w:val="36"/>
    </w:rPr>
  </w:style>
  <w:style w:type="paragraph" w:customStyle="1" w:styleId="390">
    <w:name w:val="目录 51"/>
    <w:next w:val="1"/>
    <w:qFormat/>
    <w:uiPriority w:val="0"/>
    <w:pPr>
      <w:wordWrap w:val="0"/>
      <w:ind w:left="1700"/>
      <w:jc w:val="both"/>
    </w:pPr>
    <w:rPr>
      <w:rFonts w:ascii="宋体" w:hAnsi="宋体" w:eastAsia="宋体" w:cs="宋体"/>
      <w:sz w:val="21"/>
      <w:lang w:val="en-US" w:eastAsia="zh-CN" w:bidi="ar-SA"/>
    </w:rPr>
  </w:style>
  <w:style w:type="paragraph" w:customStyle="1" w:styleId="391">
    <w:name w:val="百姓X"/>
    <w:basedOn w:val="1"/>
    <w:next w:val="374"/>
    <w:qFormat/>
    <w:uiPriority w:val="0"/>
    <w:pPr>
      <w:spacing w:before="120" w:after="120" w:line="360" w:lineRule="auto"/>
      <w:ind w:firstLine="540"/>
    </w:pPr>
    <w:rPr>
      <w:rFonts w:ascii="Arial Narrow" w:hAnsi="宋体" w:cs="宋体"/>
      <w:kern w:val="0"/>
      <w:sz w:val="24"/>
    </w:rPr>
  </w:style>
  <w:style w:type="paragraph" w:customStyle="1" w:styleId="392">
    <w:name w:val="样式4"/>
    <w:basedOn w:val="1"/>
    <w:next w:val="14"/>
    <w:qFormat/>
    <w:uiPriority w:val="0"/>
    <w:pPr>
      <w:ind w:right="13"/>
      <w:jc w:val="right"/>
    </w:pPr>
    <w:rPr>
      <w:rFonts w:hAnsi="宋体" w:eastAsia="仿宋_GB2312" w:cs="宋体"/>
      <w:kern w:val="0"/>
      <w:sz w:val="28"/>
    </w:rPr>
  </w:style>
  <w:style w:type="paragraph" w:customStyle="1" w:styleId="393">
    <w:name w:val="_Style 10"/>
    <w:basedOn w:val="1"/>
    <w:next w:val="394"/>
    <w:qFormat/>
    <w:uiPriority w:val="0"/>
    <w:pPr>
      <w:widowControl/>
      <w:spacing w:line="400" w:lineRule="exact"/>
      <w:jc w:val="center"/>
    </w:pPr>
    <w:rPr>
      <w:rFonts w:hAnsi="宋体" w:cs="宋体"/>
      <w:kern w:val="0"/>
    </w:rPr>
  </w:style>
  <w:style w:type="paragraph" w:customStyle="1" w:styleId="394">
    <w:name w:val="xl151"/>
    <w:basedOn w:val="1"/>
    <w:next w:val="395"/>
    <w:qFormat/>
    <w:uiPriority w:val="0"/>
    <w:pPr>
      <w:widowControl/>
      <w:spacing w:before="280" w:after="280"/>
    </w:pPr>
    <w:rPr>
      <w:rFonts w:ascii="宋体" w:hAnsi="宋体" w:cs="宋体"/>
      <w:kern w:val="0"/>
      <w:sz w:val="24"/>
    </w:rPr>
  </w:style>
  <w:style w:type="paragraph" w:customStyle="1" w:styleId="395">
    <w:name w:val="p15"/>
    <w:basedOn w:val="1"/>
    <w:next w:val="310"/>
    <w:qFormat/>
    <w:uiPriority w:val="0"/>
    <w:pPr>
      <w:widowControl/>
      <w:ind w:firstLine="420"/>
    </w:pPr>
    <w:rPr>
      <w:rFonts w:hAnsi="宋体" w:cs="宋体"/>
      <w:kern w:val="0"/>
    </w:rPr>
  </w:style>
  <w:style w:type="paragraph" w:customStyle="1" w:styleId="396">
    <w:name w:val="样式9"/>
    <w:next w:val="330"/>
    <w:qFormat/>
    <w:uiPriority w:val="0"/>
    <w:pPr>
      <w:widowControl w:val="0"/>
      <w:jc w:val="center"/>
    </w:pPr>
    <w:rPr>
      <w:rFonts w:ascii="Times New Roman" w:hAnsi="宋体" w:eastAsia="宋体" w:cs="宋体"/>
      <w:sz w:val="18"/>
      <w:lang w:val="en-US" w:eastAsia="zh-CN" w:bidi="ar-SA"/>
    </w:rPr>
  </w:style>
  <w:style w:type="paragraph" w:customStyle="1" w:styleId="397">
    <w:name w:val="xl163"/>
    <w:basedOn w:val="1"/>
    <w:next w:val="249"/>
    <w:qFormat/>
    <w:uiPriority w:val="0"/>
    <w:pPr>
      <w:widowControl/>
      <w:spacing w:before="280" w:after="280"/>
    </w:pPr>
    <w:rPr>
      <w:rFonts w:ascii="宋体" w:hAnsi="宋体" w:cs="宋体"/>
      <w:color w:val="000000"/>
      <w:kern w:val="0"/>
      <w:sz w:val="18"/>
    </w:rPr>
  </w:style>
  <w:style w:type="paragraph" w:customStyle="1" w:styleId="398">
    <w:name w:val="普通(网站)1"/>
    <w:basedOn w:val="1"/>
    <w:next w:val="1"/>
    <w:qFormat/>
    <w:uiPriority w:val="0"/>
    <w:pPr>
      <w:widowControl/>
      <w:wordWrap w:val="0"/>
    </w:pPr>
    <w:rPr>
      <w:rFonts w:hAnsi="宋体" w:eastAsia="Times New Roman" w:cs="宋体"/>
      <w:kern w:val="0"/>
      <w:sz w:val="24"/>
    </w:rPr>
  </w:style>
  <w:style w:type="paragraph" w:customStyle="1" w:styleId="399">
    <w:name w:val="样式 (中文) 黑体 小三 黑色"/>
    <w:basedOn w:val="3"/>
    <w:next w:val="303"/>
    <w:qFormat/>
    <w:uiPriority w:val="0"/>
    <w:pPr>
      <w:keepNext w:val="0"/>
      <w:keepLines w:val="0"/>
      <w:adjustRightInd/>
      <w:spacing w:line="240" w:lineRule="auto"/>
      <w:jc w:val="center"/>
      <w:textAlignment w:val="auto"/>
    </w:pPr>
    <w:rPr>
      <w:rFonts w:hAnsi="宋体" w:cs="宋体"/>
      <w:color w:val="000000"/>
      <w:sz w:val="30"/>
    </w:rPr>
  </w:style>
  <w:style w:type="paragraph" w:customStyle="1" w:styleId="400">
    <w:name w:val="样式3"/>
    <w:basedOn w:val="4"/>
    <w:next w:val="1"/>
    <w:qFormat/>
    <w:uiPriority w:val="0"/>
    <w:pPr>
      <w:keepNext w:val="0"/>
      <w:keepLines w:val="0"/>
      <w:adjustRightInd/>
      <w:spacing w:line="240" w:lineRule="auto"/>
      <w:jc w:val="center"/>
      <w:textAlignment w:val="auto"/>
    </w:pPr>
    <w:rPr>
      <w:rFonts w:hAnsi="宋体" w:eastAsia="黑体" w:cs="宋体"/>
    </w:rPr>
  </w:style>
  <w:style w:type="paragraph" w:customStyle="1" w:styleId="401">
    <w:name w:val="font7"/>
    <w:basedOn w:val="1"/>
    <w:next w:val="24"/>
    <w:qFormat/>
    <w:uiPriority w:val="0"/>
    <w:pPr>
      <w:widowControl/>
      <w:spacing w:before="280" w:after="280"/>
    </w:pPr>
    <w:rPr>
      <w:rFonts w:ascii="宋体" w:hAnsi="宋体" w:cs="宋体"/>
      <w:kern w:val="0"/>
      <w:sz w:val="18"/>
    </w:rPr>
  </w:style>
  <w:style w:type="paragraph" w:customStyle="1" w:styleId="402">
    <w:name w:val="正文缩进11"/>
    <w:basedOn w:val="1"/>
    <w:next w:val="1"/>
    <w:qFormat/>
    <w:uiPriority w:val="0"/>
    <w:pPr>
      <w:spacing w:line="360" w:lineRule="atLeast"/>
      <w:ind w:firstLine="482"/>
    </w:pPr>
    <w:rPr>
      <w:rFonts w:hAnsi="宋体" w:cs="宋体"/>
      <w:kern w:val="0"/>
      <w:sz w:val="24"/>
    </w:rPr>
  </w:style>
  <w:style w:type="paragraph" w:customStyle="1" w:styleId="403">
    <w:name w:val="样式 宋体 首行缩进:  2 字符 段前: 7.8 磅 段后: 7.8 磅"/>
    <w:basedOn w:val="1"/>
    <w:next w:val="230"/>
    <w:qFormat/>
    <w:uiPriority w:val="0"/>
    <w:pPr>
      <w:spacing w:before="156" w:after="156" w:line="360" w:lineRule="auto"/>
      <w:ind w:firstLine="200"/>
    </w:pPr>
    <w:rPr>
      <w:rFonts w:ascii="宋体" w:hAnsi="宋体" w:cs="宋体"/>
      <w:kern w:val="0"/>
    </w:rPr>
  </w:style>
  <w:style w:type="paragraph" w:customStyle="1" w:styleId="404">
    <w:name w:val="xl154"/>
    <w:basedOn w:val="1"/>
    <w:next w:val="400"/>
    <w:qFormat/>
    <w:uiPriority w:val="0"/>
    <w:pPr>
      <w:widowControl/>
      <w:shd w:val="clear" w:color="000000" w:fill="C0C0C0"/>
      <w:spacing w:before="280" w:after="280"/>
    </w:pPr>
    <w:rPr>
      <w:rFonts w:ascii="宋体" w:hAnsi="宋体" w:cs="宋体"/>
      <w:kern w:val="0"/>
      <w:sz w:val="20"/>
    </w:rPr>
  </w:style>
  <w:style w:type="paragraph" w:customStyle="1" w:styleId="405">
    <w:name w:val="样式 (中文) 黑体 四号 居中 行距: 1.5 倍行距"/>
    <w:basedOn w:val="4"/>
    <w:next w:val="406"/>
    <w:qFormat/>
    <w:uiPriority w:val="0"/>
    <w:pPr>
      <w:keepNext w:val="0"/>
      <w:keepLines w:val="0"/>
      <w:adjustRightInd/>
      <w:spacing w:line="240" w:lineRule="auto"/>
      <w:jc w:val="center"/>
      <w:textAlignment w:val="auto"/>
    </w:pPr>
    <w:rPr>
      <w:rFonts w:hAnsi="宋体" w:eastAsia="黑体" w:cs="宋体"/>
      <w:sz w:val="28"/>
    </w:rPr>
  </w:style>
  <w:style w:type="paragraph" w:customStyle="1" w:styleId="406">
    <w:name w:val="目录 32"/>
    <w:next w:val="1"/>
    <w:qFormat/>
    <w:uiPriority w:val="0"/>
    <w:pPr>
      <w:wordWrap w:val="0"/>
      <w:ind w:left="850"/>
      <w:jc w:val="both"/>
    </w:pPr>
    <w:rPr>
      <w:rFonts w:ascii="宋体" w:hAnsi="宋体" w:eastAsia="宋体" w:cs="宋体"/>
      <w:sz w:val="21"/>
      <w:lang w:val="en-US" w:eastAsia="zh-CN" w:bidi="ar-SA"/>
    </w:rPr>
  </w:style>
  <w:style w:type="paragraph" w:customStyle="1" w:styleId="407">
    <w:name w:val="31a（正文）章标题"/>
    <w:next w:val="408"/>
    <w:qFormat/>
    <w:uiPriority w:val="0"/>
    <w:pPr>
      <w:ind w:firstLine="315"/>
      <w:jc w:val="both"/>
      <w:outlineLvl w:val="0"/>
    </w:pPr>
    <w:rPr>
      <w:rFonts w:ascii="楷体_GB2312" w:hAnsi="宋体" w:eastAsia="宋体" w:cs="宋体"/>
      <w:sz w:val="21"/>
      <w:lang w:val="en-US" w:eastAsia="zh-CN" w:bidi="ar-SA"/>
    </w:rPr>
  </w:style>
  <w:style w:type="paragraph" w:customStyle="1" w:styleId="408">
    <w:name w:val="xl167"/>
    <w:basedOn w:val="1"/>
    <w:next w:val="308"/>
    <w:qFormat/>
    <w:uiPriority w:val="0"/>
    <w:pPr>
      <w:widowControl/>
      <w:spacing w:before="280" w:after="280"/>
    </w:pPr>
    <w:rPr>
      <w:rFonts w:ascii="宋体" w:hAnsi="宋体" w:cs="宋体"/>
      <w:kern w:val="0"/>
      <w:sz w:val="20"/>
    </w:rPr>
  </w:style>
  <w:style w:type="paragraph" w:customStyle="1" w:styleId="409">
    <w:name w:val="华文细黑1"/>
    <w:basedOn w:val="1"/>
    <w:next w:val="355"/>
    <w:qFormat/>
    <w:uiPriority w:val="0"/>
    <w:pPr>
      <w:widowControl/>
      <w:spacing w:line="300" w:lineRule="auto"/>
      <w:ind w:firstLine="200"/>
    </w:pPr>
    <w:rPr>
      <w:rFonts w:hAnsi="宋体" w:eastAsia="华文细黑" w:cs="宋体"/>
      <w:kern w:val="0"/>
      <w:sz w:val="24"/>
    </w:rPr>
  </w:style>
  <w:style w:type="paragraph" w:customStyle="1" w:styleId="410">
    <w:name w:val="文字"/>
    <w:basedOn w:val="1"/>
    <w:next w:val="411"/>
    <w:qFormat/>
    <w:uiPriority w:val="0"/>
    <w:pPr>
      <w:spacing w:line="312" w:lineRule="auto"/>
      <w:ind w:right="-210" w:firstLine="556"/>
    </w:pPr>
    <w:rPr>
      <w:rFonts w:ascii="楷体_GB2312" w:hAnsi="宋体" w:eastAsia="楷体_GB2312" w:cs="宋体"/>
      <w:kern w:val="0"/>
      <w:sz w:val="28"/>
    </w:rPr>
  </w:style>
  <w:style w:type="paragraph" w:customStyle="1" w:styleId="411">
    <w:name w:val="xl150"/>
    <w:basedOn w:val="1"/>
    <w:next w:val="321"/>
    <w:qFormat/>
    <w:uiPriority w:val="0"/>
    <w:pPr>
      <w:widowControl/>
      <w:spacing w:before="280" w:after="280"/>
    </w:pPr>
    <w:rPr>
      <w:rFonts w:ascii="宋体" w:hAnsi="宋体" w:cs="宋体"/>
      <w:kern w:val="0"/>
      <w:sz w:val="18"/>
    </w:rPr>
  </w:style>
  <w:style w:type="paragraph" w:customStyle="1" w:styleId="412">
    <w:name w:val="默认段落字体 Para Char"/>
    <w:basedOn w:val="1"/>
    <w:next w:val="357"/>
    <w:qFormat/>
    <w:uiPriority w:val="0"/>
    <w:rPr>
      <w:rFonts w:hAnsi="宋体" w:cs="宋体"/>
      <w:kern w:val="0"/>
    </w:rPr>
  </w:style>
  <w:style w:type="paragraph" w:customStyle="1" w:styleId="413">
    <w:name w:val="样式14"/>
    <w:next w:val="304"/>
    <w:qFormat/>
    <w:uiPriority w:val="0"/>
    <w:pPr>
      <w:widowControl w:val="0"/>
      <w:jc w:val="center"/>
    </w:pPr>
    <w:rPr>
      <w:rFonts w:ascii="Times New Roman" w:hAnsi="宋体" w:eastAsia="宋体" w:cs="宋体"/>
      <w:sz w:val="18"/>
      <w:lang w:val="en-US" w:eastAsia="zh-CN" w:bidi="ar-SA"/>
    </w:rPr>
  </w:style>
  <w:style w:type="paragraph" w:customStyle="1" w:styleId="414">
    <w:name w:val="样式 标题 1 + 居中"/>
    <w:basedOn w:val="2"/>
    <w:next w:val="30"/>
    <w:qFormat/>
    <w:uiPriority w:val="0"/>
    <w:pPr>
      <w:keepNext w:val="0"/>
      <w:keepLines w:val="0"/>
      <w:adjustRightInd/>
      <w:spacing w:line="576" w:lineRule="auto"/>
      <w:jc w:val="center"/>
      <w:textAlignment w:val="auto"/>
    </w:pPr>
    <w:rPr>
      <w:rFonts w:hAnsi="宋体" w:cs="宋体"/>
      <w:kern w:val="0"/>
      <w:sz w:val="32"/>
    </w:rPr>
  </w:style>
  <w:style w:type="paragraph" w:customStyle="1" w:styleId="415">
    <w:name w:val="目录 11"/>
    <w:next w:val="1"/>
    <w:qFormat/>
    <w:uiPriority w:val="0"/>
    <w:pPr>
      <w:wordWrap w:val="0"/>
      <w:jc w:val="both"/>
    </w:pPr>
    <w:rPr>
      <w:rFonts w:ascii="宋体" w:hAnsi="宋体" w:eastAsia="宋体" w:cs="宋体"/>
      <w:sz w:val="21"/>
      <w:lang w:val="en-US" w:eastAsia="zh-CN" w:bidi="ar-SA"/>
    </w:rPr>
  </w:style>
  <w:style w:type="paragraph" w:customStyle="1" w:styleId="416">
    <w:name w:val="样式15"/>
    <w:next w:val="147"/>
    <w:qFormat/>
    <w:uiPriority w:val="0"/>
    <w:pPr>
      <w:widowControl w:val="0"/>
      <w:jc w:val="center"/>
    </w:pPr>
    <w:rPr>
      <w:rFonts w:ascii="Times New Roman" w:hAnsi="宋体" w:eastAsia="宋体" w:cs="宋体"/>
      <w:sz w:val="18"/>
      <w:lang w:val="en-US" w:eastAsia="zh-CN" w:bidi="ar-SA"/>
    </w:rPr>
  </w:style>
  <w:style w:type="paragraph" w:customStyle="1" w:styleId="417">
    <w:name w:val="样式 首行缩进:  2 字符"/>
    <w:basedOn w:val="1"/>
    <w:next w:val="145"/>
    <w:qFormat/>
    <w:uiPriority w:val="0"/>
    <w:pPr>
      <w:spacing w:line="360" w:lineRule="auto"/>
      <w:ind w:firstLine="480"/>
    </w:pPr>
    <w:rPr>
      <w:rFonts w:ascii="Arial" w:hAnsi="宋体" w:cs="宋体"/>
      <w:kern w:val="0"/>
      <w:sz w:val="24"/>
    </w:rPr>
  </w:style>
  <w:style w:type="paragraph" w:customStyle="1" w:styleId="418">
    <w:name w:val="Char Char Char"/>
    <w:basedOn w:val="1"/>
    <w:next w:val="335"/>
    <w:qFormat/>
    <w:uiPriority w:val="0"/>
    <w:pPr>
      <w:ind w:left="420" w:hanging="420"/>
    </w:pPr>
    <w:rPr>
      <w:rFonts w:ascii="Tahoma" w:hAnsi="宋体" w:cs="宋体"/>
      <w:kern w:val="0"/>
      <w:sz w:val="24"/>
    </w:rPr>
  </w:style>
  <w:style w:type="paragraph" w:customStyle="1" w:styleId="419">
    <w:name w:val="xl147"/>
    <w:basedOn w:val="1"/>
    <w:next w:val="397"/>
    <w:qFormat/>
    <w:uiPriority w:val="0"/>
    <w:pPr>
      <w:widowControl/>
      <w:spacing w:before="280" w:after="280"/>
    </w:pPr>
    <w:rPr>
      <w:rFonts w:ascii="宋体" w:hAnsi="宋体" w:cs="宋体"/>
      <w:kern w:val="0"/>
      <w:sz w:val="20"/>
    </w:rPr>
  </w:style>
  <w:style w:type="paragraph" w:customStyle="1" w:styleId="420">
    <w:name w:val="样式 (中文) 黑体 小二 居中 行距: 1.5 倍行距"/>
    <w:basedOn w:val="1"/>
    <w:next w:val="1"/>
    <w:qFormat/>
    <w:uiPriority w:val="0"/>
    <w:pPr>
      <w:jc w:val="center"/>
    </w:pPr>
    <w:rPr>
      <w:rFonts w:hAnsi="宋体" w:eastAsia="黑体" w:cs="宋体"/>
      <w:kern w:val="0"/>
      <w:sz w:val="36"/>
    </w:rPr>
  </w:style>
  <w:style w:type="paragraph" w:customStyle="1" w:styleId="421">
    <w:name w:val="font9"/>
    <w:basedOn w:val="1"/>
    <w:next w:val="327"/>
    <w:qFormat/>
    <w:uiPriority w:val="0"/>
    <w:pPr>
      <w:widowControl/>
      <w:spacing w:before="280" w:after="280"/>
    </w:pPr>
    <w:rPr>
      <w:rFonts w:ascii="宋体" w:hAnsi="宋体" w:cs="宋体"/>
      <w:kern w:val="0"/>
      <w:sz w:val="18"/>
    </w:rPr>
  </w:style>
  <w:style w:type="paragraph" w:customStyle="1" w:styleId="422">
    <w:name w:val="xl168"/>
    <w:basedOn w:val="1"/>
    <w:next w:val="1"/>
    <w:qFormat/>
    <w:uiPriority w:val="0"/>
    <w:pPr>
      <w:widowControl/>
      <w:spacing w:before="280" w:after="280"/>
      <w:jc w:val="center"/>
    </w:pPr>
    <w:rPr>
      <w:rFonts w:ascii="宋体" w:hAnsi="宋体" w:cs="宋体"/>
      <w:kern w:val="0"/>
      <w:sz w:val="24"/>
    </w:rPr>
  </w:style>
  <w:style w:type="paragraph" w:customStyle="1" w:styleId="423">
    <w:name w:val="xl165"/>
    <w:basedOn w:val="1"/>
    <w:next w:val="246"/>
    <w:qFormat/>
    <w:uiPriority w:val="0"/>
    <w:pPr>
      <w:widowControl/>
      <w:spacing w:before="280" w:after="280"/>
    </w:pPr>
    <w:rPr>
      <w:rFonts w:ascii="宋体" w:hAnsi="宋体" w:cs="宋体"/>
      <w:kern w:val="0"/>
      <w:sz w:val="18"/>
    </w:rPr>
  </w:style>
  <w:style w:type="paragraph" w:customStyle="1" w:styleId="424">
    <w:name w:val="xl152"/>
    <w:basedOn w:val="1"/>
    <w:next w:val="345"/>
    <w:qFormat/>
    <w:uiPriority w:val="0"/>
    <w:pPr>
      <w:widowControl/>
      <w:spacing w:before="280" w:after="280"/>
    </w:pPr>
    <w:rPr>
      <w:rFonts w:ascii="宋体" w:hAnsi="宋体" w:cs="宋体"/>
      <w:b/>
      <w:kern w:val="0"/>
      <w:sz w:val="18"/>
    </w:rPr>
  </w:style>
  <w:style w:type="paragraph" w:customStyle="1" w:styleId="425">
    <w:name w:val="reader-word-layer reader-word-s1-5"/>
    <w:basedOn w:val="1"/>
    <w:next w:val="17"/>
    <w:qFormat/>
    <w:uiPriority w:val="0"/>
    <w:pPr>
      <w:widowControl/>
      <w:spacing w:before="280" w:after="280"/>
    </w:pPr>
    <w:rPr>
      <w:rFonts w:ascii="宋体" w:hAnsi="宋体" w:cs="宋体"/>
      <w:kern w:val="0"/>
      <w:sz w:val="24"/>
    </w:rPr>
  </w:style>
  <w:style w:type="paragraph" w:customStyle="1" w:styleId="426">
    <w:name w:val="列出段落11"/>
    <w:basedOn w:val="1"/>
    <w:next w:val="15"/>
    <w:qFormat/>
    <w:uiPriority w:val="0"/>
    <w:pPr>
      <w:ind w:firstLine="420"/>
    </w:pPr>
    <w:rPr>
      <w:rFonts w:ascii="Calibri" w:hAnsi="宋体" w:cs="宋体"/>
      <w:kern w:val="0"/>
    </w:rPr>
  </w:style>
  <w:style w:type="paragraph" w:customStyle="1" w:styleId="427">
    <w:name w:val="样式 标题 2 + (中文) 宋体 (西文)五号 非(西文)粗体 段前: 6 磅 段后: 3 磅 行距: 1.5 倍行距"/>
    <w:basedOn w:val="3"/>
    <w:next w:val="409"/>
    <w:qFormat/>
    <w:uiPriority w:val="0"/>
    <w:pPr>
      <w:keepNext w:val="0"/>
      <w:keepLines w:val="0"/>
      <w:adjustRightInd/>
      <w:spacing w:before="120" w:after="60" w:line="360" w:lineRule="auto"/>
      <w:jc w:val="center"/>
      <w:textAlignment w:val="auto"/>
    </w:pPr>
    <w:rPr>
      <w:rFonts w:hAnsi="宋体" w:eastAsia="宋体" w:cs="宋体"/>
      <w:sz w:val="24"/>
    </w:rPr>
  </w:style>
  <w:style w:type="paragraph" w:customStyle="1" w:styleId="428">
    <w:name w:val="xl161"/>
    <w:basedOn w:val="1"/>
    <w:next w:val="417"/>
    <w:qFormat/>
    <w:uiPriority w:val="0"/>
    <w:pPr>
      <w:widowControl/>
      <w:spacing w:before="280" w:after="280"/>
      <w:jc w:val="center"/>
    </w:pPr>
    <w:rPr>
      <w:rFonts w:ascii="宋体" w:hAnsi="宋体" w:cs="宋体"/>
      <w:color w:val="000000"/>
      <w:kern w:val="0"/>
      <w:sz w:val="20"/>
    </w:rPr>
  </w:style>
  <w:style w:type="paragraph" w:customStyle="1" w:styleId="429">
    <w:name w:val="reader-word-layer reader-word-s1-2"/>
    <w:basedOn w:val="1"/>
    <w:next w:val="47"/>
    <w:qFormat/>
    <w:uiPriority w:val="0"/>
    <w:pPr>
      <w:widowControl/>
      <w:spacing w:before="280" w:after="280"/>
    </w:pPr>
    <w:rPr>
      <w:rFonts w:ascii="宋体" w:hAnsi="宋体" w:cs="宋体"/>
      <w:kern w:val="0"/>
      <w:sz w:val="24"/>
    </w:rPr>
  </w:style>
  <w:style w:type="paragraph" w:customStyle="1" w:styleId="430">
    <w:name w:val="样式3 Char"/>
    <w:basedOn w:val="4"/>
    <w:next w:val="1"/>
    <w:qFormat/>
    <w:uiPriority w:val="0"/>
    <w:pPr>
      <w:keepNext w:val="0"/>
      <w:keepLines w:val="0"/>
      <w:adjustRightInd/>
      <w:spacing w:line="240" w:lineRule="auto"/>
      <w:jc w:val="center"/>
      <w:textAlignment w:val="auto"/>
    </w:pPr>
    <w:rPr>
      <w:rFonts w:hAnsi="宋体" w:eastAsia="黑体" w:cs="宋体"/>
    </w:rPr>
  </w:style>
  <w:style w:type="paragraph" w:customStyle="1" w:styleId="431">
    <w:name w:val="Char Char"/>
    <w:basedOn w:val="1"/>
    <w:next w:val="1"/>
    <w:qFormat/>
    <w:uiPriority w:val="0"/>
    <w:pPr>
      <w:widowControl/>
      <w:spacing w:after="160" w:line="240" w:lineRule="exact"/>
    </w:pPr>
    <w:rPr>
      <w:rFonts w:hAnsi="宋体" w:cs="宋体"/>
      <w:kern w:val="0"/>
    </w:rPr>
  </w:style>
  <w:style w:type="paragraph" w:customStyle="1" w:styleId="432">
    <w:name w:val="默认段落字体 Para Char Char Char Char Char Char Char Char Char Char"/>
    <w:basedOn w:val="1"/>
    <w:next w:val="429"/>
    <w:qFormat/>
    <w:uiPriority w:val="0"/>
    <w:rPr>
      <w:rFonts w:ascii="Tahoma" w:hAnsi="宋体" w:cs="宋体"/>
      <w:kern w:val="0"/>
      <w:sz w:val="24"/>
    </w:rPr>
  </w:style>
  <w:style w:type="paragraph" w:customStyle="1" w:styleId="433">
    <w:name w:val="xl141"/>
    <w:basedOn w:val="1"/>
    <w:next w:val="434"/>
    <w:qFormat/>
    <w:uiPriority w:val="0"/>
    <w:pPr>
      <w:widowControl/>
      <w:spacing w:before="280" w:after="280"/>
    </w:pPr>
    <w:rPr>
      <w:rFonts w:ascii="宋体" w:hAnsi="宋体" w:cs="宋体"/>
      <w:b/>
      <w:kern w:val="0"/>
      <w:sz w:val="18"/>
    </w:rPr>
  </w:style>
  <w:style w:type="paragraph" w:customStyle="1" w:styleId="434">
    <w:name w:val="xl155"/>
    <w:basedOn w:val="1"/>
    <w:next w:val="358"/>
    <w:qFormat/>
    <w:uiPriority w:val="0"/>
    <w:pPr>
      <w:widowControl/>
      <w:shd w:val="clear" w:color="000000" w:fill="C0C0C0"/>
      <w:spacing w:before="280" w:after="280"/>
    </w:pPr>
    <w:rPr>
      <w:rFonts w:ascii="宋体" w:hAnsi="宋体" w:cs="宋体"/>
      <w:kern w:val="0"/>
      <w:sz w:val="20"/>
    </w:rPr>
  </w:style>
  <w:style w:type="paragraph" w:customStyle="1" w:styleId="435">
    <w:name w:val="font6"/>
    <w:basedOn w:val="1"/>
    <w:next w:val="425"/>
    <w:qFormat/>
    <w:uiPriority w:val="0"/>
    <w:pPr>
      <w:widowControl/>
      <w:spacing w:before="280" w:after="280"/>
    </w:pPr>
    <w:rPr>
      <w:rFonts w:ascii="宋体" w:hAnsi="宋体" w:cs="宋体"/>
      <w:kern w:val="0"/>
      <w:sz w:val="20"/>
    </w:rPr>
  </w:style>
  <w:style w:type="paragraph" w:customStyle="1" w:styleId="436">
    <w:name w:val="Heading 71"/>
    <w:basedOn w:val="1"/>
    <w:next w:val="413"/>
    <w:qFormat/>
    <w:uiPriority w:val="0"/>
    <w:pPr>
      <w:outlineLvl w:val="7"/>
    </w:pPr>
    <w:rPr>
      <w:rFonts w:ascii="宋体" w:hAnsi="宋体" w:cs="宋体"/>
      <w:kern w:val="0"/>
      <w:sz w:val="28"/>
    </w:rPr>
  </w:style>
  <w:style w:type="paragraph" w:customStyle="1" w:styleId="437">
    <w:name w:val="_Style 7"/>
    <w:basedOn w:val="1"/>
    <w:next w:val="1"/>
    <w:qFormat/>
    <w:uiPriority w:val="0"/>
    <w:pPr>
      <w:widowControl/>
      <w:spacing w:after="160" w:line="240" w:lineRule="exact"/>
    </w:pPr>
    <w:rPr>
      <w:rFonts w:hAnsi="宋体" w:cs="宋体"/>
      <w:kern w:val="0"/>
    </w:rPr>
  </w:style>
  <w:style w:type="paragraph" w:customStyle="1" w:styleId="438">
    <w:name w:val="样式13"/>
    <w:next w:val="420"/>
    <w:qFormat/>
    <w:uiPriority w:val="0"/>
    <w:pPr>
      <w:widowControl w:val="0"/>
      <w:jc w:val="center"/>
    </w:pPr>
    <w:rPr>
      <w:rFonts w:ascii="Times New Roman" w:hAnsi="宋体" w:eastAsia="宋体" w:cs="宋体"/>
      <w:sz w:val="18"/>
      <w:lang w:val="en-US" w:eastAsia="zh-CN" w:bidi="ar-SA"/>
    </w:rPr>
  </w:style>
  <w:style w:type="paragraph" w:customStyle="1" w:styleId="439">
    <w:name w:val="Char Char Char1 Char1"/>
    <w:basedOn w:val="3"/>
    <w:next w:val="1"/>
    <w:qFormat/>
    <w:uiPriority w:val="0"/>
    <w:pPr>
      <w:keepNext w:val="0"/>
      <w:keepLines w:val="0"/>
      <w:adjustRightInd/>
      <w:spacing w:before="120" w:after="120" w:line="240" w:lineRule="auto"/>
      <w:textAlignment w:val="auto"/>
    </w:pPr>
    <w:rPr>
      <w:rFonts w:hAnsi="宋体" w:cs="宋体"/>
    </w:rPr>
  </w:style>
  <w:style w:type="paragraph" w:customStyle="1" w:styleId="440">
    <w:name w:val="列表1）"/>
    <w:next w:val="245"/>
    <w:qFormat/>
    <w:uiPriority w:val="0"/>
    <w:pPr>
      <w:widowControl w:val="0"/>
      <w:spacing w:before="10"/>
      <w:jc w:val="both"/>
    </w:pPr>
    <w:rPr>
      <w:rFonts w:ascii="Verdana" w:hAnsi="宋体" w:eastAsia="宋体" w:cs="宋体"/>
      <w:sz w:val="21"/>
      <w:lang w:val="en-US" w:eastAsia="zh-CN" w:bidi="ar-SA"/>
    </w:rPr>
  </w:style>
  <w:style w:type="character" w:customStyle="1" w:styleId="441">
    <w:name w:val="页脚 字符"/>
    <w:qFormat/>
    <w:uiPriority w:val="99"/>
    <w:rPr>
      <w:kern w:val="2"/>
      <w:sz w:val="18"/>
      <w:szCs w:val="18"/>
      <w:lang w:bidi="ar-SA"/>
    </w:rPr>
  </w:style>
  <w:style w:type="character" w:customStyle="1" w:styleId="442">
    <w:name w:val="页眉 字符"/>
    <w:qFormat/>
    <w:uiPriority w:val="0"/>
    <w:rPr>
      <w:kern w:val="2"/>
      <w:sz w:val="18"/>
      <w:szCs w:val="18"/>
      <w:lang w:bidi="ar-SA"/>
    </w:rPr>
  </w:style>
  <w:style w:type="character" w:customStyle="1" w:styleId="443">
    <w:name w:val="未处理的提及1"/>
    <w:semiHidden/>
    <w:unhideWhenUsed/>
    <w:qFormat/>
    <w:uiPriority w:val="99"/>
    <w:rPr>
      <w:color w:val="605E5C"/>
      <w:shd w:val="clear" w:color="auto" w:fill="E1DFDD"/>
    </w:rPr>
  </w:style>
  <w:style w:type="paragraph" w:customStyle="1" w:styleId="444">
    <w:name w:val="正文正式"/>
    <w:basedOn w:val="1"/>
    <w:link w:val="445"/>
    <w:qFormat/>
    <w:uiPriority w:val="0"/>
    <w:pPr>
      <w:widowControl/>
      <w:adjustRightInd w:val="0"/>
      <w:snapToGrid w:val="0"/>
      <w:spacing w:line="360" w:lineRule="auto"/>
      <w:ind w:firstLine="560" w:firstLineChars="200"/>
      <w:jc w:val="left"/>
    </w:pPr>
    <w:rPr>
      <w:rFonts w:ascii="仿宋_GB2312" w:hAnsi="仿宋" w:eastAsia="仿宋_GB2312"/>
      <w:color w:val="000000"/>
      <w:kern w:val="0"/>
      <w:sz w:val="28"/>
      <w:szCs w:val="28"/>
    </w:rPr>
  </w:style>
  <w:style w:type="character" w:customStyle="1" w:styleId="445">
    <w:name w:val="正文正式 Char"/>
    <w:basedOn w:val="59"/>
    <w:link w:val="444"/>
    <w:qFormat/>
    <w:uiPriority w:val="0"/>
    <w:rPr>
      <w:rFonts w:ascii="仿宋_GB2312" w:hAnsi="仿宋" w:eastAsia="仿宋_GB2312"/>
      <w:color w:val="000000"/>
      <w:sz w:val="28"/>
      <w:szCs w:val="28"/>
    </w:rPr>
  </w:style>
  <w:style w:type="character" w:customStyle="1" w:styleId="446">
    <w:name w:val="明显强调2"/>
    <w:basedOn w:val="59"/>
    <w:qFormat/>
    <w:uiPriority w:val="21"/>
    <w:rPr>
      <w:b/>
      <w:bCs/>
      <w:i/>
      <w:iCs/>
      <w:color w:val="4F81BD"/>
    </w:rPr>
  </w:style>
  <w:style w:type="paragraph" w:customStyle="1" w:styleId="447">
    <w:name w:val="目录 82"/>
    <w:next w:val="1"/>
    <w:qFormat/>
    <w:uiPriority w:val="0"/>
    <w:pPr>
      <w:wordWrap w:val="0"/>
      <w:ind w:left="2550"/>
      <w:jc w:val="both"/>
    </w:pPr>
    <w:rPr>
      <w:rFonts w:ascii="Times New Roman" w:hAnsi="Times New Roman" w:eastAsia="宋体" w:cs="Times New Roman"/>
      <w:sz w:val="21"/>
      <w:lang w:val="en-US" w:eastAsia="zh-CN" w:bidi="ar-SA"/>
    </w:rPr>
  </w:style>
  <w:style w:type="paragraph" w:customStyle="1" w:styleId="448">
    <w:name w:val="TOC 标题2"/>
    <w:basedOn w:val="2"/>
    <w:next w:val="1"/>
    <w:qFormat/>
    <w:uiPriority w:val="0"/>
    <w:pPr>
      <w:widowControl/>
      <w:adjustRightInd/>
      <w:spacing w:before="480" w:after="0" w:line="276" w:lineRule="auto"/>
      <w:jc w:val="left"/>
      <w:textAlignment w:val="auto"/>
      <w:outlineLvl w:val="9"/>
    </w:pPr>
    <w:rPr>
      <w:rFonts w:ascii="Cambria" w:hAnsi="Cambria"/>
      <w:bCs/>
      <w:color w:val="365F91"/>
      <w:kern w:val="0"/>
      <w:sz w:val="28"/>
      <w:szCs w:val="28"/>
    </w:rPr>
  </w:style>
  <w:style w:type="character" w:customStyle="1" w:styleId="449">
    <w:name w:val="明显参考2"/>
    <w:qFormat/>
    <w:uiPriority w:val="0"/>
    <w:rPr>
      <w:b/>
      <w:bCs/>
      <w:smallCaps/>
      <w:color w:val="C0504D"/>
      <w:spacing w:val="5"/>
      <w:u w:val="single"/>
    </w:rPr>
  </w:style>
  <w:style w:type="character" w:customStyle="1" w:styleId="450">
    <w:name w:val="不明显强调2"/>
    <w:qFormat/>
    <w:uiPriority w:val="0"/>
    <w:rPr>
      <w:i/>
      <w:iCs/>
      <w:color w:val="808080"/>
    </w:rPr>
  </w:style>
  <w:style w:type="character" w:customStyle="1" w:styleId="451">
    <w:name w:val="不明显参考2"/>
    <w:qFormat/>
    <w:uiPriority w:val="0"/>
    <w:rPr>
      <w:smallCaps/>
      <w:color w:val="C0504D"/>
      <w:u w:val="single"/>
    </w:rPr>
  </w:style>
  <w:style w:type="character" w:customStyle="1" w:styleId="452">
    <w:name w:val="书籍标题2"/>
    <w:qFormat/>
    <w:uiPriority w:val="0"/>
    <w:rPr>
      <w:b/>
      <w:bCs/>
      <w:smallCaps/>
      <w:spacing w:val="5"/>
    </w:rPr>
  </w:style>
  <w:style w:type="paragraph" w:customStyle="1" w:styleId="453">
    <w:name w:val="修订3"/>
    <w:qFormat/>
    <w:uiPriority w:val="0"/>
    <w:rPr>
      <w:rFonts w:ascii="Times New Roman" w:hAnsi="Times New Roman" w:eastAsia="宋体" w:cs="Times New Roman"/>
      <w:kern w:val="2"/>
      <w:sz w:val="21"/>
      <w:szCs w:val="24"/>
      <w:lang w:val="en-US" w:eastAsia="zh-CN" w:bidi="ar-SA"/>
    </w:rPr>
  </w:style>
  <w:style w:type="character" w:customStyle="1" w:styleId="454">
    <w:name w:val="明显强调3"/>
    <w:basedOn w:val="59"/>
    <w:qFormat/>
    <w:uiPriority w:val="21"/>
    <w:rPr>
      <w:b/>
      <w:bCs/>
      <w:i/>
      <w:iCs/>
      <w:color w:val="4F81BD"/>
    </w:rPr>
  </w:style>
  <w:style w:type="table" w:customStyle="1" w:styleId="455">
    <w:name w:val="Table Normal"/>
    <w:semiHidden/>
    <w:unhideWhenUsed/>
    <w:qFormat/>
    <w:uiPriority w:val="0"/>
    <w:rPr>
      <w:rFonts w:ascii="Arial" w:hAnsi="Arial" w:cs="Arial"/>
    </w:rPr>
    <w:tblPr>
      <w:tblCellMar>
        <w:top w:w="0" w:type="dxa"/>
        <w:left w:w="0" w:type="dxa"/>
        <w:bottom w:w="0" w:type="dxa"/>
        <w:right w:w="0" w:type="dxa"/>
      </w:tblCellMar>
    </w:tblPr>
  </w:style>
  <w:style w:type="paragraph" w:customStyle="1" w:styleId="456">
    <w:name w:val="Table Text"/>
    <w:basedOn w:val="1"/>
    <w:semiHidden/>
    <w:qFormat/>
    <w:uiPriority w:val="0"/>
    <w:pPr>
      <w:widowControl/>
      <w:kinsoku w:val="0"/>
      <w:autoSpaceDE w:val="0"/>
      <w:autoSpaceDN w:val="0"/>
      <w:adjustRightInd w:val="0"/>
      <w:snapToGrid w:val="0"/>
      <w:jc w:val="left"/>
      <w:textAlignment w:val="baseline"/>
    </w:pPr>
    <w:rPr>
      <w:rFonts w:ascii="仿宋" w:hAnsi="仿宋" w:eastAsia="仿宋" w:cs="仿宋"/>
      <w:snapToGrid w:val="0"/>
      <w:color w:val="000000"/>
      <w:kern w:val="0"/>
      <w:sz w:val="28"/>
      <w:szCs w:val="28"/>
      <w:lang w:eastAsia="en-US"/>
    </w:rPr>
  </w:style>
  <w:style w:type="table" w:customStyle="1" w:styleId="457">
    <w:name w:val="网格型6"/>
    <w:basedOn w:val="57"/>
    <w:qFormat/>
    <w:uiPriority w:val="59"/>
    <w:rPr>
      <w:rFonts w:ascii="Courier New" w:hAnsi="Courier New" w:cs="Courier New"/>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58">
    <w:name w:val="网格型7"/>
    <w:basedOn w:val="57"/>
    <w:qFormat/>
    <w:uiPriority w:val="59"/>
    <w:rPr>
      <w:rFonts w:ascii="Courier New" w:hAnsi="Courier New" w:cs="Courier New"/>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59">
    <w:name w:val="网格型8"/>
    <w:basedOn w:val="57"/>
    <w:qFormat/>
    <w:uiPriority w:val="59"/>
    <w:rPr>
      <w:rFonts w:ascii="Courier New" w:hAnsi="Courier New" w:cs="Courier New"/>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60">
    <w:name w:val="style4"/>
    <w:basedOn w:val="1"/>
    <w:next w:val="140"/>
    <w:qFormat/>
    <w:uiPriority w:val="0"/>
    <w:pPr>
      <w:widowControl/>
      <w:spacing w:before="280" w:after="280"/>
    </w:pPr>
    <w:rPr>
      <w:rFonts w:ascii="宋体"/>
      <w:sz w:val="18"/>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65</Pages>
  <Words>8536</Words>
  <Characters>10256</Characters>
  <Lines>1696</Lines>
  <Paragraphs>1410</Paragraphs>
  <TotalTime>5</TotalTime>
  <ScaleCrop>false</ScaleCrop>
  <LinksUpToDate>false</LinksUpToDate>
  <CharactersWithSpaces>10483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2025-04-11T07:18:00Z</dcterms:created>
  <dc:creator>user</dc:creator>
  <cp:lastModifiedBy>destiny</cp:lastModifiedBy>
  <cp:lastPrinted>2018-04-26T07:08:00Z</cp:lastPrinted>
  <dcterms:modified xsi:type="dcterms:W3CDTF">2025-04-11T07:46:44Z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958CC673440744DE8B521994A9021EE0_13</vt:lpwstr>
  </property>
  <property fmtid="{D5CDD505-2E9C-101B-9397-08002B2CF9AE}" pid="4" name="KSOTemplateDocerSaveRecord">
    <vt:lpwstr>eyJoZGlkIjoiMTI2M2VmNTljZmU5NWUyNzcwY2E3ZjM4NTZlMTViNzgiLCJ1c2VySWQiOiI1MDc4MTQ3MjcifQ==</vt:lpwstr>
  </property>
</Properties>
</file>